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64" w:rsidRDefault="00BF3C64" w:rsidP="00BF3C64">
      <w:pPr>
        <w:rPr>
          <w:rFonts w:ascii="FangSong_GB2312" w:eastAsia="FangSong_GB2312" w:hAnsi="FangSong_GB2312" w:cs="FangSong_GB2312" w:hint="eastAsia"/>
          <w:b/>
          <w:sz w:val="32"/>
          <w:szCs w:val="32"/>
        </w:rPr>
      </w:pPr>
      <w:r>
        <w:rPr>
          <w:rFonts w:ascii="FangSong_GB2312" w:eastAsia="FangSong_GB2312" w:hAnsi="FangSong_GB2312" w:cs="FangSong_GB2312" w:hint="eastAsia"/>
          <w:sz w:val="32"/>
          <w:szCs w:val="32"/>
        </w:rPr>
        <w:t xml:space="preserve">附件 </w:t>
      </w:r>
      <w:r>
        <w:rPr>
          <w:rFonts w:ascii="FangSong_GB2312" w:eastAsia="FangSong_GB2312" w:hAnsi="FangSong_GB2312" w:cs="FangSong_GB2312" w:hint="eastAsia"/>
          <w:b/>
          <w:sz w:val="32"/>
          <w:szCs w:val="32"/>
        </w:rPr>
        <w:t xml:space="preserve">        </w:t>
      </w:r>
    </w:p>
    <w:p w:rsidR="00BF3C64" w:rsidRDefault="00BF3C64" w:rsidP="00BF3C64">
      <w:pPr>
        <w:snapToGrid w:val="0"/>
        <w:spacing w:line="360" w:lineRule="auto"/>
        <w:jc w:val="center"/>
        <w:rPr>
          <w:rFonts w:ascii="FangSong_GB2312" w:eastAsia="FangSong_GB2312" w:hAnsi="FangSong_GB2312" w:cs="FangSong_GB2312" w:hint="eastAsia"/>
          <w:b/>
          <w:sz w:val="44"/>
          <w:szCs w:val="44"/>
        </w:rPr>
      </w:pPr>
      <w:r>
        <w:rPr>
          <w:rFonts w:ascii="FangSong_GB2312" w:eastAsia="FangSong_GB2312" w:hAnsi="FangSong_GB2312" w:cs="FangSong_GB2312" w:hint="eastAsia"/>
          <w:b/>
          <w:sz w:val="44"/>
          <w:szCs w:val="44"/>
        </w:rPr>
        <w:t>陕西省石油化工学校2018年</w:t>
      </w:r>
    </w:p>
    <w:p w:rsidR="00BF3C64" w:rsidRDefault="00BF3C64" w:rsidP="00BF3C64">
      <w:pPr>
        <w:snapToGrid w:val="0"/>
        <w:spacing w:line="360" w:lineRule="auto"/>
        <w:jc w:val="center"/>
        <w:rPr>
          <w:rFonts w:ascii="FangSong_GB2312" w:eastAsia="FangSong_GB2312" w:hAnsi="FangSong_GB2312" w:cs="FangSong_GB2312" w:hint="eastAsia"/>
          <w:b/>
          <w:sz w:val="32"/>
          <w:szCs w:val="32"/>
        </w:rPr>
      </w:pPr>
      <w:r>
        <w:rPr>
          <w:rFonts w:ascii="FangSong_GB2312" w:eastAsia="FangSong_GB2312" w:hAnsi="FangSong_GB2312" w:cs="FangSong_GB2312" w:hint="eastAsia"/>
          <w:b/>
          <w:sz w:val="44"/>
          <w:szCs w:val="44"/>
        </w:rPr>
        <w:t>中等职业教育质量年度报告</w:t>
      </w:r>
    </w:p>
    <w:p w:rsidR="00BF3C64" w:rsidRDefault="00BF3C64" w:rsidP="00BF3C64">
      <w:pPr>
        <w:ind w:firstLineChars="200" w:firstLine="643"/>
        <w:jc w:val="left"/>
        <w:rPr>
          <w:rFonts w:ascii="FangSong_GB2312" w:eastAsia="FangSong_GB2312" w:hAnsi="FangSong_GB2312" w:cs="FangSong_GB2312" w:hint="eastAsia"/>
          <w:b/>
          <w:sz w:val="32"/>
          <w:szCs w:val="32"/>
        </w:rPr>
      </w:pPr>
    </w:p>
    <w:p w:rsidR="00BF3C64" w:rsidRDefault="00BF3C64" w:rsidP="00BF3C64">
      <w:pPr>
        <w:ind w:firstLineChars="200" w:firstLine="643"/>
        <w:jc w:val="left"/>
        <w:rPr>
          <w:rFonts w:ascii="FangSong_GB2312" w:eastAsia="FangSong_GB2312" w:hAnsi="FangSong_GB2312" w:cs="FangSong_GB2312" w:hint="eastAsia"/>
          <w:b/>
          <w:sz w:val="32"/>
          <w:szCs w:val="32"/>
        </w:rPr>
      </w:pPr>
      <w:r>
        <w:rPr>
          <w:rFonts w:ascii="FangSong_GB2312" w:eastAsia="FangSong_GB2312" w:hAnsi="FangSong_GB2312" w:cs="FangSong_GB2312" w:hint="eastAsia"/>
          <w:b/>
          <w:sz w:val="32"/>
          <w:szCs w:val="32"/>
        </w:rPr>
        <w:t>一、学校情况</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333333"/>
          <w:sz w:val="32"/>
          <w:szCs w:val="32"/>
        </w:rPr>
      </w:pPr>
      <w:r>
        <w:rPr>
          <w:rFonts w:ascii="FangSong_GB2312" w:eastAsia="FangSong_GB2312" w:hAnsi="FangSong_GB2312" w:cs="FangSong_GB2312" w:hint="eastAsia"/>
          <w:color w:val="333333"/>
          <w:sz w:val="32"/>
          <w:szCs w:val="32"/>
        </w:rPr>
        <w:t>1</w:t>
      </w:r>
      <w:bookmarkStart w:id="0" w:name="_Hlk530554073"/>
      <w:r>
        <w:rPr>
          <w:rFonts w:ascii="FangSong_GB2312" w:eastAsia="FangSong_GB2312" w:hAnsi="FangSong_GB2312" w:cs="FangSong_GB2312" w:hint="eastAsia"/>
          <w:color w:val="333333"/>
          <w:sz w:val="32"/>
          <w:szCs w:val="32"/>
        </w:rPr>
        <w:t>.</w:t>
      </w:r>
      <w:bookmarkEnd w:id="0"/>
      <w:r>
        <w:rPr>
          <w:rFonts w:ascii="FangSong_GB2312" w:eastAsia="FangSong_GB2312" w:hAnsi="FangSong_GB2312" w:cs="FangSong_GB2312" w:hint="eastAsia"/>
          <w:color w:val="333333"/>
          <w:sz w:val="32"/>
          <w:szCs w:val="32"/>
        </w:rPr>
        <w:t>学校概况</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noProof/>
          <w:sz w:val="32"/>
          <w:szCs w:val="32"/>
        </w:rPr>
        <w:drawing>
          <wp:inline distT="0" distB="0" distL="0" distR="0">
            <wp:extent cx="9525" cy="952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FangSong_GB2312" w:eastAsia="FangSong_GB2312" w:hAnsi="FangSong_GB2312" w:cs="FangSong_GB2312" w:hint="eastAsia"/>
          <w:sz w:val="32"/>
          <w:szCs w:val="32"/>
        </w:rPr>
        <w:t xml:space="preserve">学校创建于1959年，是陕西省教育厅直属的全日制国家级重点中等职业学校、陕西省示范性中等职业学校。学校位于古城西安雁塔文化区，占地面积约100亩，建筑面积50000余平方米。 </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333333"/>
          <w:sz w:val="32"/>
          <w:szCs w:val="32"/>
        </w:rPr>
      </w:pPr>
      <w:r>
        <w:rPr>
          <w:rFonts w:ascii="FangSong_GB2312" w:eastAsia="FangSong_GB2312" w:hAnsi="FangSong_GB2312" w:cs="FangSong_GB2312" w:hint="eastAsia"/>
          <w:sz w:val="32"/>
          <w:szCs w:val="32"/>
        </w:rPr>
        <w:t>2</w:t>
      </w:r>
      <w:r>
        <w:rPr>
          <w:rFonts w:ascii="FangSong_GB2312" w:eastAsia="FangSong_GB2312" w:hAnsi="FangSong_GB2312" w:cs="FangSong_GB2312" w:hint="eastAsia"/>
          <w:color w:val="333333"/>
          <w:sz w:val="32"/>
          <w:szCs w:val="32"/>
        </w:rPr>
        <w:t>.学生情况</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本年度，在校生学历教育人数154人，其中初中专129人，高中专25人，另有企业培训学员302人。</w:t>
      </w:r>
      <w:r>
        <w:rPr>
          <w:rFonts w:ascii="FangSong_GB2312" w:eastAsia="FangSong_GB2312" w:hAnsi="FangSong_GB2312" w:cs="FangSong_GB2312" w:hint="eastAsia"/>
          <w:color w:val="FF0000"/>
          <w:sz w:val="32"/>
          <w:szCs w:val="32"/>
        </w:rPr>
        <w:t xml:space="preserve"> </w:t>
      </w:r>
      <w:r>
        <w:rPr>
          <w:rFonts w:ascii="FangSong_GB2312" w:eastAsia="FangSong_GB2312" w:hAnsi="FangSong_GB2312" w:cs="FangSong_GB2312" w:hint="eastAsia"/>
          <w:sz w:val="32"/>
          <w:szCs w:val="32"/>
        </w:rPr>
        <w:t>与上一年度相比在校人数有所提高。</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3.教师队伍</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本年度</w:t>
      </w:r>
      <w:r>
        <w:rPr>
          <w:rFonts w:ascii="FangSong_GB2312" w:eastAsia="FangSong_GB2312" w:hAnsi="FangSong_GB2312" w:cs="FangSong_GB2312" w:hint="eastAsia"/>
          <w:sz w:val="32"/>
          <w:szCs w:val="32"/>
        </w:rPr>
        <w:t>教职工总人数171人。</w:t>
      </w:r>
      <w:r>
        <w:rPr>
          <w:rFonts w:ascii="FangSong_GB2312" w:eastAsia="FangSong_GB2312" w:hAnsi="FangSong_GB2312" w:cs="FangSong_GB2312" w:hint="eastAsia"/>
          <w:color w:val="000000"/>
          <w:sz w:val="32"/>
          <w:szCs w:val="32"/>
        </w:rPr>
        <w:t>专任教师人数118人，比上年度123 人减少5人。本年度和上年度专任教师类型人数占比分别见下表。</w:t>
      </w:r>
    </w:p>
    <w:p w:rsidR="00BF3C64" w:rsidRDefault="00BF3C64" w:rsidP="00BF3C64">
      <w:pPr>
        <w:pStyle w:val="a6"/>
        <w:spacing w:before="0" w:beforeAutospacing="0" w:after="0" w:afterAutospacing="0"/>
        <w:ind w:firstLineChars="200" w:firstLine="643"/>
        <w:jc w:val="center"/>
        <w:rPr>
          <w:rFonts w:ascii="FangSong_GB2312" w:eastAsia="FangSong_GB2312" w:hAnsi="FangSong_GB2312" w:cs="FangSong_GB2312" w:hint="eastAsia"/>
          <w:b/>
          <w:color w:val="000000"/>
          <w:sz w:val="32"/>
          <w:szCs w:val="32"/>
        </w:rPr>
      </w:pPr>
      <w:r>
        <w:rPr>
          <w:rFonts w:ascii="FangSong_GB2312" w:eastAsia="FangSong_GB2312" w:hAnsi="FangSong_GB2312" w:cs="FangSong_GB2312" w:hint="eastAsia"/>
          <w:b/>
          <w:color w:val="000000"/>
          <w:sz w:val="32"/>
          <w:szCs w:val="32"/>
        </w:rPr>
        <w:t xml:space="preserve"> 专任教师中各类型教师比例一览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387"/>
        <w:gridCol w:w="985"/>
        <w:gridCol w:w="1776"/>
        <w:gridCol w:w="1911"/>
        <w:gridCol w:w="1517"/>
      </w:tblGrid>
      <w:tr w:rsidR="00BF3C64" w:rsidTr="00F3369C">
        <w:tc>
          <w:tcPr>
            <w:tcW w:w="1336"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年度</w:t>
            </w:r>
          </w:p>
        </w:tc>
        <w:tc>
          <w:tcPr>
            <w:tcW w:w="1387"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“双师型”</w:t>
            </w:r>
          </w:p>
        </w:tc>
        <w:tc>
          <w:tcPr>
            <w:tcW w:w="985"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兼职</w:t>
            </w:r>
          </w:p>
        </w:tc>
        <w:tc>
          <w:tcPr>
            <w:tcW w:w="1776"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本科以上学历</w:t>
            </w:r>
          </w:p>
        </w:tc>
        <w:tc>
          <w:tcPr>
            <w:tcW w:w="1911"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硕士以上学历</w:t>
            </w:r>
          </w:p>
        </w:tc>
        <w:tc>
          <w:tcPr>
            <w:tcW w:w="1517"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高级职称</w:t>
            </w:r>
          </w:p>
        </w:tc>
      </w:tr>
      <w:tr w:rsidR="00BF3C64" w:rsidTr="00F3369C">
        <w:tc>
          <w:tcPr>
            <w:tcW w:w="1336"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lastRenderedPageBreak/>
              <w:t>2018</w:t>
            </w:r>
          </w:p>
        </w:tc>
        <w:tc>
          <w:tcPr>
            <w:tcW w:w="1387"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59%</w:t>
            </w:r>
          </w:p>
        </w:tc>
        <w:tc>
          <w:tcPr>
            <w:tcW w:w="985"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0</w:t>
            </w:r>
          </w:p>
        </w:tc>
        <w:tc>
          <w:tcPr>
            <w:tcW w:w="1776"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99%</w:t>
            </w:r>
          </w:p>
        </w:tc>
        <w:tc>
          <w:tcPr>
            <w:tcW w:w="1911"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11%</w:t>
            </w:r>
          </w:p>
        </w:tc>
        <w:tc>
          <w:tcPr>
            <w:tcW w:w="1517"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55%</w:t>
            </w:r>
          </w:p>
        </w:tc>
      </w:tr>
      <w:tr w:rsidR="00BF3C64" w:rsidTr="00F3369C">
        <w:tc>
          <w:tcPr>
            <w:tcW w:w="1336"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2017</w:t>
            </w:r>
          </w:p>
        </w:tc>
        <w:tc>
          <w:tcPr>
            <w:tcW w:w="1387"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56%</w:t>
            </w:r>
          </w:p>
        </w:tc>
        <w:tc>
          <w:tcPr>
            <w:tcW w:w="985" w:type="dxa"/>
            <w:vAlign w:val="center"/>
          </w:tcPr>
          <w:p w:rsidR="00BF3C64" w:rsidRDefault="00BF3C64" w:rsidP="00F3369C">
            <w:pPr>
              <w:pStyle w:val="a6"/>
              <w:spacing w:before="0" w:beforeAutospacing="0" w:after="0" w:afterAutospacing="0"/>
              <w:jc w:val="center"/>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0</w:t>
            </w:r>
          </w:p>
        </w:tc>
        <w:tc>
          <w:tcPr>
            <w:tcW w:w="1776"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94%</w:t>
            </w:r>
          </w:p>
        </w:tc>
        <w:tc>
          <w:tcPr>
            <w:tcW w:w="1911"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10%</w:t>
            </w:r>
          </w:p>
        </w:tc>
        <w:tc>
          <w:tcPr>
            <w:tcW w:w="1517" w:type="dxa"/>
            <w:vAlign w:val="center"/>
          </w:tcPr>
          <w:p w:rsidR="00BF3C64" w:rsidRDefault="00BF3C64" w:rsidP="00F3369C">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47%</w:t>
            </w:r>
          </w:p>
        </w:tc>
      </w:tr>
    </w:tbl>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从上表可见，本年度专任教师中，“双师型”教师比例59%，与上年相比有提升；无兼职教师，与上年一致；专任教师中本科以上学历比例99%，与上年相比有较大提高；专任教师中硕士以上学历比例11%，与上年相比，提高1个百分点；专任教师中高级职称教师比例55%，与上年相比提升8个百分点。</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333333"/>
          <w:sz w:val="32"/>
          <w:szCs w:val="32"/>
        </w:rPr>
      </w:pPr>
      <w:r>
        <w:rPr>
          <w:rFonts w:ascii="FangSong_GB2312" w:eastAsia="FangSong_GB2312" w:hAnsi="FangSong_GB2312" w:cs="FangSong_GB2312" w:hint="eastAsia"/>
          <w:color w:val="333333"/>
          <w:sz w:val="32"/>
          <w:szCs w:val="32"/>
        </w:rPr>
        <w:t>4.设施设备</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color w:val="333333"/>
          <w:sz w:val="32"/>
          <w:szCs w:val="32"/>
        </w:rPr>
        <w:t>学校拥有齐全的现代化教学设备，一流的实验室、实训基地。2004年3月学校被国家劳动和社会保障部确定为化工行业“特有工种职业技能鉴定站”，为学生技能培训、取证、上岗就业创造了有利条件。2007年，学校被国家确定为“化工行业特有工种高技能人才实训基地”。2008年，学校被确定为国家首批“石油和化工行业职业教育与培训全国示范性实训基地”。</w:t>
      </w:r>
      <w:r>
        <w:rPr>
          <w:rFonts w:ascii="FangSong_GB2312" w:eastAsia="FangSong_GB2312" w:hAnsi="FangSong_GB2312" w:cs="FangSong_GB2312" w:hint="eastAsia"/>
          <w:color w:val="000000"/>
          <w:sz w:val="32"/>
          <w:szCs w:val="32"/>
        </w:rPr>
        <w:t>学校现有五个实验实训基地，建筑面积6000多平方米，有实验实训室32个，工位数共1050多个，学术报告厅1个，投影及多媒体教室90个，教学仪器设备价值近1400万元，生均实训实习工位6个多，生均教学仪器设备值9万元。纸质图书期刊约11.27万册，生均732册，</w:t>
      </w:r>
      <w:r>
        <w:rPr>
          <w:rFonts w:ascii="FangSong_GB2312" w:eastAsia="FangSong_GB2312" w:hAnsi="FangSong_GB2312" w:cs="FangSong_GB2312" w:hint="eastAsia"/>
          <w:sz w:val="32"/>
          <w:szCs w:val="32"/>
        </w:rPr>
        <w:t xml:space="preserve">与上年度相比，一部分数据持平，另一部分数据有所下降。 </w:t>
      </w:r>
    </w:p>
    <w:p w:rsidR="00BF3C64" w:rsidRDefault="00BF3C64" w:rsidP="00BF3C64">
      <w:pPr>
        <w:pStyle w:val="a6"/>
        <w:spacing w:before="0" w:beforeAutospacing="0" w:after="0" w:afterAutospacing="0"/>
        <w:ind w:firstLineChars="100" w:firstLine="321"/>
        <w:rPr>
          <w:rFonts w:hint="eastAsia"/>
          <w:color w:val="000000"/>
          <w:sz w:val="32"/>
          <w:szCs w:val="32"/>
        </w:rPr>
      </w:pPr>
      <w:r>
        <w:rPr>
          <w:rFonts w:ascii="FangSong_GB2312" w:eastAsia="FangSong_GB2312" w:hAnsi="FangSong_GB2312" w:cs="FangSong_GB2312" w:hint="eastAsia"/>
          <w:b/>
          <w:bCs/>
          <w:color w:val="000000"/>
          <w:sz w:val="32"/>
          <w:szCs w:val="32"/>
        </w:rPr>
        <w:t>二</w:t>
      </w:r>
      <w:r>
        <w:rPr>
          <w:rFonts w:ascii="FangSong_GB2312" w:eastAsia="FangSong_GB2312" w:hAnsi="FangSong_GB2312" w:cs="FangSong_GB2312" w:hint="eastAsia"/>
          <w:b/>
          <w:color w:val="000000"/>
          <w:sz w:val="32"/>
          <w:szCs w:val="32"/>
        </w:rPr>
        <w:t>、</w:t>
      </w:r>
      <w:r>
        <w:rPr>
          <w:rFonts w:ascii="FangSong_GB2312" w:eastAsia="FangSong_GB2312" w:hAnsi="FangSong_GB2312" w:cs="FangSong_GB2312" w:hint="eastAsia"/>
          <w:b/>
          <w:bCs/>
          <w:color w:val="000000"/>
          <w:sz w:val="32"/>
          <w:szCs w:val="32"/>
        </w:rPr>
        <w:t>学生发展</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color w:val="000000"/>
          <w:kern w:val="0"/>
          <w:sz w:val="32"/>
          <w:szCs w:val="32"/>
        </w:rPr>
        <w:lastRenderedPageBreak/>
        <w:t>1.学生素质</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bCs/>
          <w:color w:val="000000"/>
          <w:kern w:val="0"/>
          <w:sz w:val="32"/>
          <w:szCs w:val="32"/>
        </w:rPr>
        <w:t>学生素质提升主要</w:t>
      </w:r>
      <w:r>
        <w:rPr>
          <w:rFonts w:ascii="FangSong_GB2312" w:eastAsia="FangSong_GB2312" w:hAnsi="FangSong_GB2312" w:cs="FangSong_GB2312" w:hint="eastAsia"/>
          <w:color w:val="000000"/>
          <w:kern w:val="0"/>
          <w:sz w:val="32"/>
          <w:szCs w:val="32"/>
        </w:rPr>
        <w:t>通过实施一系列德育教育工作，开展丰富多彩的第二课堂活动、赏识教育及建立家长微信群和家长交朋友等方式展开； 本年度在各个教室设置手机充电柜，要求学生上课时手机集中放进充电柜，保证课堂教学过程中学生能够集中注意力听讲，能够按时完成作业，上课迟到现象大大减少。班级的面貌有了很大的改观。</w:t>
      </w:r>
    </w:p>
    <w:p w:rsidR="00BF3C64" w:rsidRDefault="00BF3C64" w:rsidP="00BF3C64">
      <w:pPr>
        <w:ind w:firstLineChars="200" w:firstLine="640"/>
        <w:rPr>
          <w:rFonts w:ascii="FangSong_GB2312" w:eastAsia="FangSong_GB2312" w:hAnsi="FangSong_GB2312" w:cs="FangSong_GB2312" w:hint="eastAsia"/>
          <w:b/>
          <w:color w:val="000000"/>
          <w:kern w:val="0"/>
          <w:sz w:val="32"/>
          <w:szCs w:val="32"/>
        </w:rPr>
      </w:pPr>
      <w:r>
        <w:rPr>
          <w:rFonts w:ascii="FangSong_GB2312" w:eastAsia="FangSong_GB2312" w:hAnsi="FangSong_GB2312" w:cs="FangSong_GB2312" w:hint="eastAsia"/>
          <w:sz w:val="32"/>
          <w:szCs w:val="32"/>
        </w:rPr>
        <w:t>学生思想教育工作常抓不懈，多层次，全方位推进。班主任利用政治学习、晚自习和班会，与学生谈心，纠正不良思想和修正不当行为；每周三政治学习是开展第二课堂和德育的学习阵地，宣传时事政治，国家大政方针，帮助学生树立正确世界观、人生观、价值观。各科专职教师也在课堂教学中，结合各专业授课内容，开展德育教育，</w:t>
      </w:r>
    </w:p>
    <w:p w:rsidR="00BF3C64" w:rsidRDefault="00BF3C64" w:rsidP="00BF3C64">
      <w:pPr>
        <w:pStyle w:val="1"/>
        <w:shd w:val="clear" w:color="auto" w:fill="FFFFFF"/>
        <w:spacing w:before="0" w:beforeAutospacing="0" w:after="0" w:afterAutospacing="0" w:line="301" w:lineRule="atLeast"/>
        <w:rPr>
          <w:rFonts w:ascii="FangSong_GB2312" w:eastAsia="FangSong_GB2312" w:hAnsi="FangSong_GB2312" w:cs="FangSong_GB2312" w:hint="eastAsia"/>
          <w:b w:val="0"/>
          <w:color w:val="000000"/>
          <w:kern w:val="0"/>
          <w:sz w:val="32"/>
          <w:szCs w:val="32"/>
        </w:rPr>
      </w:pPr>
      <w:r>
        <w:rPr>
          <w:rFonts w:ascii="FangSong_GB2312" w:eastAsia="FangSong_GB2312" w:hAnsi="FangSong_GB2312" w:cs="FangSong_GB2312" w:hint="eastAsia"/>
          <w:b w:val="0"/>
          <w:color w:val="000000"/>
          <w:kern w:val="0"/>
          <w:sz w:val="32"/>
          <w:szCs w:val="32"/>
        </w:rPr>
        <w:t>与上一年度相比较，本学年，学生出勤率高达98.5%，毕业率100%，无辍学学生。</w:t>
      </w:r>
    </w:p>
    <w:p w:rsidR="00BF3C64" w:rsidRDefault="00BF3C64" w:rsidP="00BF3C64">
      <w:pPr>
        <w:pStyle w:val="1"/>
        <w:shd w:val="clear" w:color="auto" w:fill="FFFFFF"/>
        <w:spacing w:before="0" w:beforeAutospacing="0" w:after="0" w:afterAutospacing="0" w:line="301" w:lineRule="atLeast"/>
        <w:rPr>
          <w:rFonts w:ascii="FangSong_GB2312" w:eastAsia="FangSong_GB2312" w:hAnsi="FangSong_GB2312" w:cs="FangSong_GB2312" w:hint="eastAsia"/>
          <w:b w:val="0"/>
          <w:color w:val="000000"/>
          <w:kern w:val="0"/>
          <w:sz w:val="32"/>
          <w:szCs w:val="32"/>
        </w:rPr>
      </w:pPr>
      <w:r>
        <w:rPr>
          <w:rFonts w:ascii="FangSong_GB2312" w:eastAsia="FangSong_GB2312" w:hAnsi="FangSong_GB2312" w:cs="FangSong_GB2312" w:hint="eastAsia"/>
          <w:b w:val="0"/>
          <w:color w:val="000000"/>
          <w:kern w:val="0"/>
          <w:sz w:val="32"/>
          <w:szCs w:val="32"/>
        </w:rPr>
        <w:t xml:space="preserve">    2. 资助情况  </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 xml:space="preserve">我校学生资助工作以中职国家减免学费、助学金为重点，实行学生精准资助，始终坚持育人与助人并举的原则，确立了“经济上予以资助，生活上予以照顾，思想上予以引导，学习上予以帮助”的方针，从大局出发，从小事做起，严格规范管理。我校学生资助管理工作具有“规范、公平、发展”三大特点。 </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lastRenderedPageBreak/>
        <w:t xml:space="preserve">结合学校实际，制定了我校学生助学金管理办法，并成立学校助学金领导小组，建立了中职教育贫困家庭学生助学金制度。我校资助管理办公室对申报、评定、发放等工作明确了程序，规范了管理，体现了公平公正透明。 一方面，我校建立健全了学籍档案资料，及时为新注册学籍学生建立学生学籍档案，确保各项资料的齐全、真实、规范，认真填写学生学籍档案中身份证号、家庭地址、联系电话等各项信息，确保国家助学金所需学籍信息的完整性、真实性和及时性。另一方面，学校强化评审程序和评审结果的公示制度，实行阳光操作。同时，建立国家助学金投诉举报受理工作机制，设立举报投诉电话，并向全校公布，广泛接受群众监督。更重要的是，保证 “专款专用、专账核算”，提高资金使用效益，真正做到专项资金规范管理。  </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我校根据国家中等职业学校助学金资助政策，充分发挥资助政策的最大作用，制定了学生资助工作组织评定和公示程序，确保公平、公正、公开： 一是在向学生发放资助申请表过程中，以班级为单位成立学生家庭贫困情况评议小组，进行民主评议和认定。二是根据学生家庭贫困情况进行分类认定，结合贫困生贫困程度，依次确定资助或减免对象。 三是通过两次公示确认，确保资金落到实处。第一次公示是学校初步拟定资助和减免学生名单，第二次公示是学校审批确认发放助学金。中国银行现为我校学生资助合作银行，学校</w:t>
      </w:r>
      <w:r>
        <w:rPr>
          <w:rFonts w:ascii="FangSong_GB2312" w:eastAsia="FangSong_GB2312" w:hAnsi="FangSong_GB2312" w:cs="FangSong_GB2312" w:hint="eastAsia"/>
          <w:sz w:val="32"/>
          <w:szCs w:val="32"/>
        </w:rPr>
        <w:lastRenderedPageBreak/>
        <w:t xml:space="preserve">为所有享受助学金的学生申办了中国银行助学金银行卡。助学金下拨到我校专户后，由学生资助工作办公室根据审核结果制作发放表，经学校领导审批后，财务处前往银行统一办理发放事宜。所有资助金额均发放到每个受助学生的助学金卡，无充缴学费或饭卡现象。在发放的同时，学校还规定各班班主任必须告知学生家长，让学校和学生家长共同管理、监督学生助学金，确保资金一分不少地发放到学生手中。 四是加强对中职助学金的管理，严肃工作纪律，杜绝违纪行为。学校通过建立健全学生信息管理系统，如实申报本校在校生学籍，并加强对流失学生学籍的监管，实时报告本校中途流失学生信息，注销流失学生学籍，坚决杜绝“双重学籍”重复申报的现象，杜绝虚报冒领套取财政资金等违法违纪行为的发生。 </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从2017年开始，为了进一步宣传学生资助政策，切实了解贫困学生家庭的实际情况，落实精准资助政策，确保把党和政府的温暖送到每一个家庭经济困难学生，使资助工作真正落到实处。我校根据教育厅“精准资助基层行”文件精神，召开了精准资助专题会议，明确责任分工，并于同年进行精准资助走基层、下乡村入户走访，走访陕西省渭南市合阳县、宝鸡市麟游县以及甘肃平凉市灵台县等地。</w:t>
      </w:r>
    </w:p>
    <w:p w:rsidR="00BF3C64" w:rsidRDefault="00BF3C64" w:rsidP="00BF3C64">
      <w:pPr>
        <w:pStyle w:val="1"/>
        <w:shd w:val="clear" w:color="auto" w:fill="FFFFFF"/>
        <w:spacing w:before="0" w:beforeAutospacing="0" w:after="0" w:afterAutospacing="0" w:line="301" w:lineRule="atLeast"/>
        <w:ind w:firstLineChars="200" w:firstLine="640"/>
        <w:rPr>
          <w:rFonts w:ascii="FangSong_GB2312" w:eastAsia="FangSong_GB2312" w:hAnsi="FangSong_GB2312" w:cs="FangSong_GB2312" w:hint="eastAsia"/>
          <w:b w:val="0"/>
          <w:color w:val="000000"/>
          <w:kern w:val="0"/>
          <w:sz w:val="32"/>
          <w:szCs w:val="32"/>
          <w:highlight w:val="yellow"/>
        </w:rPr>
      </w:pPr>
      <w:r>
        <w:rPr>
          <w:rFonts w:ascii="FangSong_GB2312" w:eastAsia="FangSong_GB2312" w:hAnsi="FangSong_GB2312" w:cs="FangSong_GB2312" w:hint="eastAsia"/>
          <w:b w:val="0"/>
          <w:color w:val="000000"/>
          <w:kern w:val="0"/>
          <w:sz w:val="32"/>
          <w:szCs w:val="32"/>
        </w:rPr>
        <w:t xml:space="preserve">3.就业质量 </w:t>
      </w:r>
    </w:p>
    <w:p w:rsidR="00BF3C64" w:rsidRDefault="00BF3C64" w:rsidP="00BF3C64">
      <w:pPr>
        <w:widowControl/>
        <w:shd w:val="clear" w:color="auto" w:fill="FFFFFF"/>
        <w:spacing w:line="360" w:lineRule="auto"/>
        <w:ind w:firstLine="42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kern w:val="0"/>
          <w:sz w:val="32"/>
          <w:szCs w:val="32"/>
        </w:rPr>
        <w:t>（1）就业人数和就业率</w:t>
      </w:r>
    </w:p>
    <w:p w:rsidR="00BF3C64" w:rsidRDefault="00BF3C64" w:rsidP="00BF3C64">
      <w:pPr>
        <w:widowControl/>
        <w:shd w:val="clear" w:color="auto" w:fill="FFFFFF"/>
        <w:spacing w:before="150" w:after="150" w:line="360" w:lineRule="auto"/>
        <w:ind w:leftChars="100" w:left="210"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lastRenderedPageBreak/>
        <w:t xml:space="preserve">2018年，毕业学生数29人，就业学生数28人，就业率97%；对口就业学生数 10人，对口就业率为33%。在就业学生中，进入各级所有制企事业单位的学生人数为25人，占毕业学生比例为80%；升入高一级学校人数为1人，占毕业学生比例为3%。初次就业月收入2500-3000元之间。 </w:t>
      </w:r>
    </w:p>
    <w:p w:rsidR="00BF3C64" w:rsidRDefault="00BF3C64" w:rsidP="00BF3C64">
      <w:pPr>
        <w:widowControl/>
        <w:shd w:val="clear" w:color="auto" w:fill="FFFFFF"/>
        <w:spacing w:line="360" w:lineRule="auto"/>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（2）各产业就业分布情况</w:t>
      </w:r>
    </w:p>
    <w:p w:rsidR="00BF3C64" w:rsidRDefault="00BF3C64" w:rsidP="00BF3C64">
      <w:pPr>
        <w:widowControl/>
        <w:shd w:val="clear" w:color="auto" w:fill="FFFFFF"/>
        <w:spacing w:before="150" w:after="150" w:line="360" w:lineRule="auto"/>
        <w:ind w:leftChars="100" w:left="210"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kern w:val="0"/>
          <w:sz w:val="32"/>
          <w:szCs w:val="32"/>
        </w:rPr>
        <w:t>从事第二产业的毕业生数为25人，占就业学生数的86%；从事第三产业的毕业生数为3人，占就业学生数的10%。本地、异地就业情况：在本省就业的毕业生数 26人，占就业学生数的90%；到异地就业的毕业生数为2人，占就业学生数的7%。就业渠道情况：通过学校推荐就业的毕业生数为25人，占就业学生数的86%；其他渠道就业的毕业生数为3人，占就业学生数的10%。与上一年度相比，情况基本一致</w:t>
      </w:r>
      <w:bookmarkStart w:id="1" w:name="_Hlk528144321"/>
      <w:r>
        <w:rPr>
          <w:rFonts w:ascii="FangSong_GB2312" w:eastAsia="FangSong_GB2312" w:hAnsi="FangSong_GB2312" w:cs="FangSong_GB2312" w:hint="eastAsia"/>
          <w:kern w:val="0"/>
          <w:sz w:val="32"/>
          <w:szCs w:val="32"/>
        </w:rPr>
        <w:t>。</w:t>
      </w:r>
      <w:bookmarkEnd w:id="1"/>
    </w:p>
    <w:p w:rsidR="00BF3C64" w:rsidRDefault="00BF3C64" w:rsidP="00BF3C64">
      <w:pPr>
        <w:widowControl/>
        <w:shd w:val="clear" w:color="auto" w:fill="FFFFFF"/>
        <w:ind w:firstLineChars="200" w:firstLine="643"/>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b/>
          <w:bCs/>
          <w:color w:val="000000"/>
          <w:kern w:val="0"/>
          <w:sz w:val="32"/>
          <w:szCs w:val="32"/>
        </w:rPr>
        <w:t>三</w:t>
      </w:r>
      <w:r>
        <w:rPr>
          <w:rFonts w:ascii="FangSong_GB2312" w:eastAsia="FangSong_GB2312" w:hAnsi="FangSong_GB2312" w:cs="FangSong_GB2312" w:hint="eastAsia"/>
          <w:b/>
          <w:sz w:val="32"/>
          <w:szCs w:val="32"/>
        </w:rPr>
        <w:t>、</w:t>
      </w:r>
      <w:r>
        <w:rPr>
          <w:rFonts w:ascii="FangSong_GB2312" w:eastAsia="FangSong_GB2312" w:hAnsi="FangSong_GB2312" w:cs="FangSong_GB2312" w:hint="eastAsia"/>
          <w:b/>
          <w:bCs/>
          <w:color w:val="000000"/>
          <w:kern w:val="0"/>
          <w:sz w:val="32"/>
          <w:szCs w:val="32"/>
        </w:rPr>
        <w:t>质量保障措施</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color w:val="000000"/>
          <w:kern w:val="0"/>
          <w:sz w:val="32"/>
          <w:szCs w:val="32"/>
        </w:rPr>
        <w:t>1.专业动态调整</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陕西是能源大省，陕北是国家级</w:t>
      </w:r>
      <w:r>
        <w:rPr>
          <w:rFonts w:ascii="FangSong_GB2312" w:eastAsia="FangSong_GB2312" w:hAnsi="FangSong_GB2312" w:cs="FangSong_GB2312" w:hint="eastAsia"/>
          <w:color w:val="333333"/>
          <w:sz w:val="32"/>
          <w:szCs w:val="32"/>
          <w:shd w:val="clear" w:color="auto" w:fill="FFFFFF"/>
        </w:rPr>
        <w:t>能源化工基地，</w:t>
      </w:r>
      <w:r>
        <w:rPr>
          <w:rFonts w:ascii="FangSong_GB2312" w:eastAsia="FangSong_GB2312" w:hAnsi="FangSong_GB2312" w:cs="FangSong_GB2312" w:hint="eastAsia"/>
          <w:sz w:val="32"/>
          <w:szCs w:val="32"/>
        </w:rPr>
        <w:t>石油和化学工业是陕西的</w:t>
      </w:r>
      <w:r>
        <w:rPr>
          <w:rFonts w:ascii="FangSong_GB2312" w:eastAsia="FangSong_GB2312" w:hAnsi="FangSong_GB2312" w:cs="FangSong_GB2312" w:hint="eastAsia"/>
          <w:color w:val="000000"/>
          <w:sz w:val="32"/>
          <w:szCs w:val="32"/>
          <w:shd w:val="clear" w:color="auto" w:fill="FFFFFF"/>
        </w:rPr>
        <w:t>重要</w:t>
      </w:r>
      <w:r>
        <w:rPr>
          <w:rFonts w:ascii="FangSong_GB2312" w:eastAsia="FangSong_GB2312" w:hAnsi="FangSong_GB2312" w:cs="FangSong_GB2312" w:hint="eastAsia"/>
          <w:sz w:val="32"/>
          <w:szCs w:val="32"/>
        </w:rPr>
        <w:t xml:space="preserve">支柱产业，学校的专业设置紧贴石油和化工，目前常规招生专业详见下表：  </w:t>
      </w:r>
    </w:p>
    <w:p w:rsidR="00BF3C64" w:rsidRDefault="00BF3C64" w:rsidP="00BF3C64">
      <w:pPr>
        <w:widowControl/>
        <w:shd w:val="clear" w:color="auto" w:fill="FFFFFF"/>
        <w:ind w:firstLineChars="800" w:firstLine="2570"/>
        <w:rPr>
          <w:rFonts w:ascii="FangSong_GB2312" w:eastAsia="FangSong_GB2312" w:hAnsi="FangSong_GB2312" w:cs="FangSong_GB2312" w:hint="eastAsia"/>
          <w:b/>
          <w:sz w:val="32"/>
          <w:szCs w:val="32"/>
        </w:rPr>
      </w:pPr>
      <w:r>
        <w:rPr>
          <w:rFonts w:ascii="FangSong_GB2312" w:eastAsia="FangSong_GB2312" w:hAnsi="FangSong_GB2312" w:cs="FangSong_GB2312" w:hint="eastAsia"/>
          <w:b/>
          <w:sz w:val="32"/>
          <w:szCs w:val="32"/>
        </w:rPr>
        <w:t>常规招生专业一览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2713"/>
        <w:gridCol w:w="2169"/>
      </w:tblGrid>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b/>
                <w:sz w:val="32"/>
                <w:szCs w:val="32"/>
              </w:rPr>
              <w:t>序号</w:t>
            </w:r>
          </w:p>
        </w:tc>
        <w:tc>
          <w:tcPr>
            <w:tcW w:w="3119"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b/>
                <w:sz w:val="32"/>
                <w:szCs w:val="32"/>
              </w:rPr>
              <w:t>专业名称</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b/>
                <w:sz w:val="32"/>
                <w:szCs w:val="32"/>
              </w:rPr>
              <w:t>代码</w:t>
            </w:r>
          </w:p>
        </w:tc>
        <w:tc>
          <w:tcPr>
            <w:tcW w:w="2169"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b/>
                <w:sz w:val="32"/>
                <w:szCs w:val="32"/>
              </w:rPr>
              <w:t>备注</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lastRenderedPageBreak/>
              <w:t>1</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机电技术应用</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051300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新增专业</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2</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计算机网络技术</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090500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新增专业</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3</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环境监测技术</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021800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新增专业</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4</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化学工艺</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060100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省级精品专业</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5</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化工机械与设备</w:t>
            </w:r>
          </w:p>
        </w:tc>
        <w:tc>
          <w:tcPr>
            <w:tcW w:w="2713" w:type="dxa"/>
            <w:vAlign w:val="center"/>
          </w:tcPr>
          <w:p w:rsidR="00BF3C64" w:rsidRDefault="00BF3C64" w:rsidP="00F3369C">
            <w:pPr>
              <w:widowControl/>
              <w:spacing w:line="400" w:lineRule="exact"/>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060400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省级示范专业</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6</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工业分析与检验</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060200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省级精品专业</w:t>
            </w:r>
          </w:p>
        </w:tc>
      </w:tr>
      <w:tr w:rsidR="00BF3C64" w:rsidTr="00F3369C">
        <w:tc>
          <w:tcPr>
            <w:tcW w:w="675"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7</w:t>
            </w:r>
          </w:p>
        </w:tc>
        <w:tc>
          <w:tcPr>
            <w:tcW w:w="311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化工仪表及自动化</w:t>
            </w:r>
          </w:p>
        </w:tc>
        <w:tc>
          <w:tcPr>
            <w:tcW w:w="2713" w:type="dxa"/>
          </w:tcPr>
          <w:p w:rsidR="00BF3C64" w:rsidRDefault="00BF3C64" w:rsidP="00F3369C">
            <w:pPr>
              <w:widowControl/>
              <w:jc w:val="center"/>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060500</w:t>
            </w:r>
          </w:p>
        </w:tc>
        <w:tc>
          <w:tcPr>
            <w:tcW w:w="2169" w:type="dxa"/>
          </w:tcPr>
          <w:p w:rsidR="00BF3C64" w:rsidRDefault="00BF3C64" w:rsidP="00F3369C">
            <w:pPr>
              <w:widowControl/>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省级精品专业</w:t>
            </w:r>
          </w:p>
        </w:tc>
      </w:tr>
    </w:tbl>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sz w:val="32"/>
          <w:szCs w:val="32"/>
        </w:rPr>
        <w:t>专业特色鲜明，与地方产业吻合度高、贡献率较高。近年，国家实施产业转型升级政策，石油和化工行业面临“去产能、调结构”的艰巨任务，对职业院校毕业生的需求量减少，同时石油和化工行业的技术密集度提高对人才学历要求提高，加之社会需求变化，学校及时制定对策，学习</w:t>
      </w:r>
      <w:r>
        <w:rPr>
          <w:rFonts w:ascii="FangSong_GB2312" w:eastAsia="FangSong_GB2312" w:hAnsi="FangSong_GB2312" w:cs="FangSong_GB2312" w:hint="eastAsia"/>
          <w:color w:val="000000"/>
          <w:sz w:val="32"/>
          <w:szCs w:val="32"/>
        </w:rPr>
        <w:t>陕西省国民经济和社会发展第十三个五年规划纲要、</w:t>
      </w:r>
      <w:r>
        <w:rPr>
          <w:rFonts w:ascii="FangSong_GB2312" w:eastAsia="FangSong_GB2312" w:hAnsi="FangSong_GB2312" w:cs="FangSong_GB2312" w:hint="eastAsia"/>
          <w:sz w:val="32"/>
          <w:szCs w:val="32"/>
        </w:rPr>
        <w:t>广泛调研市场和兄弟院校，</w:t>
      </w:r>
      <w:r>
        <w:rPr>
          <w:rFonts w:ascii="FangSong_GB2312" w:eastAsia="FangSong_GB2312" w:hAnsi="FangSong_GB2312" w:cs="FangSong_GB2312" w:hint="eastAsia"/>
          <w:color w:val="000000"/>
          <w:sz w:val="32"/>
          <w:szCs w:val="32"/>
        </w:rPr>
        <w:t>学校规定以后每年招生工作结束后，分析评议专业招生情况，及时剔除和</w:t>
      </w:r>
      <w:r>
        <w:rPr>
          <w:rFonts w:ascii="FangSong_GB2312" w:eastAsia="FangSong_GB2312" w:hAnsi="FangSong_GB2312" w:cs="FangSong_GB2312" w:hint="eastAsia"/>
          <w:sz w:val="32"/>
          <w:szCs w:val="32"/>
        </w:rPr>
        <w:t>及时增设新专业，形成专业调整优化的动态机制，更加提高</w:t>
      </w:r>
      <w:r>
        <w:rPr>
          <w:rFonts w:ascii="FangSong_GB2312" w:eastAsia="FangSong_GB2312" w:hAnsi="FangSong_GB2312" w:cs="FangSong_GB2312" w:hint="eastAsia"/>
          <w:color w:val="000000"/>
          <w:kern w:val="0"/>
          <w:sz w:val="32"/>
          <w:szCs w:val="32"/>
        </w:rPr>
        <w:t xml:space="preserve">专业设置与地方产业吻合度和对地方经济的贡献率。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 xml:space="preserve">2.教育教学改革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shd w:val="clear" w:color="auto" w:fill="FFFFFF"/>
        </w:rPr>
      </w:pPr>
      <w:r>
        <w:rPr>
          <w:rFonts w:ascii="FangSong_GB2312" w:eastAsia="FangSong_GB2312" w:hAnsi="FangSong_GB2312" w:cs="FangSong_GB2312" w:hint="eastAsia"/>
          <w:kern w:val="0"/>
          <w:sz w:val="32"/>
          <w:szCs w:val="32"/>
        </w:rPr>
        <w:t>（1）项目建设  初步完成了上年度</w:t>
      </w:r>
      <w:r>
        <w:rPr>
          <w:rFonts w:ascii="FangSong_GB2312" w:eastAsia="FangSong_GB2312" w:hAnsi="FangSong_GB2312" w:cs="FangSong_GB2312" w:hint="eastAsia"/>
          <w:sz w:val="32"/>
          <w:szCs w:val="32"/>
          <w:shd w:val="clear" w:color="auto" w:fill="FFFFFF"/>
        </w:rPr>
        <w:t>200万元专项资金的教学基础设施建设项目，预计2018年底完成上年度校内立项的</w:t>
      </w:r>
      <w:r>
        <w:rPr>
          <w:rFonts w:ascii="FangSong_GB2312" w:eastAsia="FangSong_GB2312" w:hAnsi="FangSong_GB2312" w:cs="FangSong_GB2312" w:hint="eastAsia"/>
          <w:sz w:val="32"/>
          <w:szCs w:val="32"/>
        </w:rPr>
        <w:t>化学工艺专业信息化建设</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rPr>
        <w:t>化学实验仪器及信息化设备建设和教务管理系统建设等子项目</w:t>
      </w:r>
      <w:r>
        <w:rPr>
          <w:rFonts w:ascii="FangSong_GB2312" w:eastAsia="FangSong_GB2312" w:hAnsi="FangSong_GB2312" w:cs="FangSong_GB2312" w:hint="eastAsia"/>
          <w:sz w:val="32"/>
          <w:szCs w:val="32"/>
          <w:shd w:val="clear" w:color="auto" w:fill="FFFFFF"/>
        </w:rPr>
        <w:t>。</w:t>
      </w:r>
    </w:p>
    <w:p w:rsidR="00BF3C64" w:rsidRDefault="00BF3C64" w:rsidP="00BF3C64">
      <w:pPr>
        <w:pStyle w:val="a6"/>
        <w:spacing w:before="0" w:beforeAutospacing="0" w:after="0" w:afterAutospacing="0"/>
        <w:ind w:firstLineChars="100" w:firstLine="32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lastRenderedPageBreak/>
        <w:t xml:space="preserve">（2）技能竞赛   2017年11月，举行了学生技能展示与竞赛月活动，内容包括“化工仿真3D安全演练比赛 ”、“壁报创意设计”等两项 ，均为个人项目，参加学生人数24人，最终15人次获得奖项。通过活动，教师检验了教学效果，选手找到了差距，为日后教学工作改进、教学模式改革指明了方向，提供了动力。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3.教师培养培训</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kern w:val="0"/>
          <w:sz w:val="32"/>
          <w:szCs w:val="32"/>
        </w:rPr>
        <w:t>本年度，我校教师参加化工行业特有工种高级技师培训2人、技师培训1人；参加继续教育培训近20人。</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color w:val="000000"/>
          <w:kern w:val="0"/>
          <w:sz w:val="32"/>
          <w:szCs w:val="32"/>
        </w:rPr>
        <w:t>4.规范管理情况</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color w:val="000000"/>
          <w:kern w:val="0"/>
          <w:sz w:val="32"/>
          <w:szCs w:val="32"/>
        </w:rPr>
        <w:t xml:space="preserve">学校各个部门加强质量监控体系建设，进一步规范管理。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教学质量是职业教育的生命线，健全的教学质量监控体系是保障提高教学质量的重要手段，本年度修订完善了人事管理制度、专业人才培养方案、教师课堂行为规范、教学质量评估制度；改革学生考核方式和方法，学生的成绩不在是一张考卷定乾坤，注重平时学习态度、学习过程，提高平时成绩在期末成绩中的占比（期末总成绩 = 平时60 % + 期末40%），平时成绩涵盖课堂表现、小测验、作业、实验、实训的成绩，全面考核；学生课堂表现从以下方面考查：课前准备、听讲情况、回答问题、笔记、作业完成；学生有课堂违纪情况：玩手机、睡觉、吵闹、顶撞老师等现象应记录并注明。本学期开始实行教师对学生平时成绩及表现月报表制，</w:t>
      </w:r>
      <w:r>
        <w:rPr>
          <w:rFonts w:ascii="FangSong_GB2312" w:eastAsia="FangSong_GB2312" w:hAnsi="FangSong_GB2312" w:cs="FangSong_GB2312" w:hint="eastAsia"/>
          <w:sz w:val="32"/>
          <w:szCs w:val="32"/>
        </w:rPr>
        <w:lastRenderedPageBreak/>
        <w:t>以便学生管理人员能及时掌握学生课堂学习情况，对学生进行及时有效的管理。</w:t>
      </w:r>
    </w:p>
    <w:p w:rsidR="00BF3C64" w:rsidRDefault="00BF3C64" w:rsidP="00BF3C64">
      <w:pPr>
        <w:pStyle w:val="1"/>
        <w:shd w:val="clear" w:color="auto" w:fill="FFFFFF"/>
        <w:spacing w:before="0" w:beforeAutospacing="0" w:after="0" w:afterAutospacing="0" w:line="301" w:lineRule="atLeast"/>
        <w:ind w:firstLineChars="200" w:firstLine="640"/>
        <w:rPr>
          <w:rFonts w:ascii="FangSong_GB2312" w:eastAsia="FangSong_GB2312" w:hAnsi="FangSong_GB2312" w:cs="FangSong_GB2312" w:hint="eastAsia"/>
          <w:b w:val="0"/>
          <w:bCs w:val="0"/>
          <w:color w:val="000000"/>
          <w:kern w:val="0"/>
          <w:sz w:val="32"/>
          <w:szCs w:val="32"/>
        </w:rPr>
      </w:pPr>
      <w:r>
        <w:rPr>
          <w:rFonts w:ascii="FangSong_GB2312" w:eastAsia="FangSong_GB2312" w:hAnsi="FangSong_GB2312" w:cs="FangSong_GB2312" w:hint="eastAsia"/>
          <w:b w:val="0"/>
          <w:bCs w:val="0"/>
          <w:color w:val="000000"/>
          <w:kern w:val="0"/>
          <w:sz w:val="32"/>
          <w:szCs w:val="32"/>
        </w:rPr>
        <w:t>学生管理工作主要由学生科和团委专职从事学生管理工作、富有经验、关心热爱学生的教师队伍组成，本年度，通过机构调整基本形成了一支年龄、学历、职称结构合理的学生管理队伍。</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后勤管理进一步明确了工作职责，制定夜间及下班时间学校紧急事件的处理工作程序；针对我校供水管网老化问题，设专人进行定期检查，及时处理并排除六起安全隐患，保证了我校供水管网的正常工作。</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校园卫生管理水平进一步提高，与校外专业保洁公司签订的保洁服务合同，负责全校卫生保洁工作。现有保洁人员共21人，负责全校公共区域以及教学楼、行政楼、学生公寓的卫生保洁工作。后勤科采取由专人管理、每天巡查、定期开会的措施对保洁公司进行监督管理，保证学校校园卫生干净整洁，给广大师生一个良好的生活学习环境。</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color w:val="000000"/>
          <w:sz w:val="32"/>
          <w:szCs w:val="32"/>
          <w:shd w:val="clear" w:color="auto" w:fill="FFFFFF"/>
        </w:rPr>
        <w:t>校园安全管理制度较上一年度有了明显改善，进一步加强了学校安全工作管理制度；规范了校园消防安全制度；门卫安全防范工作规范制度；校园监控室安全工作制度；突发灾害安</w:t>
      </w:r>
      <w:r>
        <w:rPr>
          <w:rFonts w:ascii="FangSong_GB2312" w:eastAsia="FangSong_GB2312" w:hAnsi="FangSong_GB2312" w:cs="FangSong_GB2312" w:hint="eastAsia"/>
          <w:sz w:val="32"/>
          <w:szCs w:val="32"/>
        </w:rPr>
        <w:t xml:space="preserve">全防护工作制度及应急预案；校内公共活动场所安全管理制度；食品卫生安全管理制度。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bCs/>
          <w:color w:val="000000"/>
          <w:kern w:val="0"/>
          <w:sz w:val="32"/>
          <w:szCs w:val="32"/>
        </w:rPr>
      </w:pPr>
      <w:r>
        <w:rPr>
          <w:rFonts w:ascii="FangSong_GB2312" w:eastAsia="FangSong_GB2312" w:hAnsi="FangSong_GB2312" w:cs="FangSong_GB2312" w:hint="eastAsia"/>
          <w:bCs/>
          <w:color w:val="000000"/>
          <w:kern w:val="0"/>
          <w:sz w:val="32"/>
          <w:szCs w:val="32"/>
        </w:rPr>
        <w:t xml:space="preserve">5.德育工作情况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sz w:val="32"/>
          <w:szCs w:val="32"/>
          <w:shd w:val="clear" w:color="auto" w:fill="FFFFFF"/>
        </w:rPr>
      </w:pPr>
      <w:r>
        <w:rPr>
          <w:rFonts w:ascii="FangSong_GB2312" w:eastAsia="FangSong_GB2312" w:hAnsi="FangSong_GB2312" w:cs="FangSong_GB2312" w:hint="eastAsia"/>
          <w:color w:val="000000"/>
          <w:sz w:val="32"/>
          <w:szCs w:val="32"/>
          <w:shd w:val="clear" w:color="auto" w:fill="FFFFFF"/>
        </w:rPr>
        <w:lastRenderedPageBreak/>
        <w:t xml:space="preserve"> 学校德育工作紧紧围绕</w:t>
      </w:r>
      <w:r>
        <w:rPr>
          <w:rFonts w:ascii="FangSong_GB2312" w:eastAsia="FangSong_GB2312" w:hAnsi="FangSong_GB2312" w:cs="FangSong_GB2312" w:hint="eastAsia"/>
          <w:color w:val="000000"/>
          <w:sz w:val="32"/>
          <w:szCs w:val="32"/>
        </w:rPr>
        <w:t>学校</w:t>
      </w:r>
      <w:r>
        <w:rPr>
          <w:rFonts w:ascii="FangSong_GB2312" w:eastAsia="FangSong_GB2312" w:hAnsi="FangSong_GB2312" w:cs="FangSong_GB2312" w:hint="eastAsia"/>
          <w:color w:val="000000"/>
          <w:sz w:val="32"/>
          <w:szCs w:val="32"/>
          <w:shd w:val="clear" w:color="auto" w:fill="FFFFFF"/>
        </w:rPr>
        <w:t>的中心</w:t>
      </w:r>
      <w:r>
        <w:rPr>
          <w:rFonts w:ascii="FangSong_GB2312" w:eastAsia="FangSong_GB2312" w:hAnsi="FangSong_GB2312" w:cs="FangSong_GB2312" w:hint="eastAsia"/>
          <w:color w:val="000000"/>
          <w:sz w:val="32"/>
          <w:szCs w:val="32"/>
        </w:rPr>
        <w:t>工作</w:t>
      </w:r>
      <w:r>
        <w:rPr>
          <w:rFonts w:ascii="FangSong_GB2312" w:eastAsia="FangSong_GB2312" w:hAnsi="FangSong_GB2312" w:cs="FangSong_GB2312" w:hint="eastAsia"/>
          <w:color w:val="000000"/>
          <w:sz w:val="32"/>
          <w:szCs w:val="32"/>
          <w:shd w:val="clear" w:color="auto" w:fill="FFFFFF"/>
        </w:rPr>
        <w:t>,根据学生的年龄特点以人为本,以教育为目标,不断开拓德育工作新思路。寓教于乐，通过开展丰富多彩的校园活动，提高</w:t>
      </w:r>
      <w:r>
        <w:rPr>
          <w:rFonts w:ascii="FangSong_GB2312" w:eastAsia="FangSong_GB2312" w:hAnsi="FangSong_GB2312" w:cs="FangSong_GB2312" w:hint="eastAsia"/>
          <w:color w:val="000000"/>
          <w:sz w:val="32"/>
          <w:szCs w:val="32"/>
        </w:rPr>
        <w:t>学生的</w:t>
      </w:r>
      <w:r>
        <w:rPr>
          <w:rFonts w:ascii="FangSong_GB2312" w:eastAsia="FangSong_GB2312" w:hAnsi="FangSong_GB2312" w:cs="FangSong_GB2312" w:hint="eastAsia"/>
          <w:color w:val="000000"/>
          <w:sz w:val="32"/>
          <w:szCs w:val="32"/>
          <w:shd w:val="clear" w:color="auto" w:fill="FFFFFF"/>
        </w:rPr>
        <w:t>思想</w:t>
      </w:r>
      <w:r>
        <w:rPr>
          <w:rFonts w:ascii="FangSong_GB2312" w:eastAsia="FangSong_GB2312" w:hAnsi="FangSong_GB2312" w:cs="FangSong_GB2312" w:hint="eastAsia"/>
          <w:color w:val="000000"/>
          <w:sz w:val="32"/>
          <w:szCs w:val="32"/>
        </w:rPr>
        <w:t>道德</w:t>
      </w:r>
      <w:r>
        <w:rPr>
          <w:rFonts w:ascii="FangSong_GB2312" w:eastAsia="FangSong_GB2312" w:hAnsi="FangSong_GB2312" w:cs="FangSong_GB2312" w:hint="eastAsia"/>
          <w:color w:val="000000"/>
          <w:sz w:val="32"/>
          <w:szCs w:val="32"/>
          <w:shd w:val="clear" w:color="auto" w:fill="FFFFFF"/>
        </w:rPr>
        <w:t xml:space="preserve">水平,成为一个对社会有用的人。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sz w:val="32"/>
          <w:szCs w:val="32"/>
          <w:shd w:val="clear" w:color="auto" w:fill="FFFFFF"/>
        </w:rPr>
      </w:pPr>
      <w:r>
        <w:rPr>
          <w:rFonts w:ascii="FangSong_GB2312" w:eastAsia="FangSong_GB2312" w:hAnsi="FangSong_GB2312" w:cs="FangSong_GB2312" w:hint="eastAsia"/>
          <w:color w:val="000000"/>
          <w:sz w:val="32"/>
          <w:szCs w:val="32"/>
          <w:shd w:val="clear" w:color="auto" w:fill="FFFFFF"/>
        </w:rPr>
        <w:t>通过“十九大精神进课堂”</w:t>
      </w:r>
      <w:bookmarkStart w:id="2" w:name="_Hlk530578781"/>
      <w:r>
        <w:rPr>
          <w:rFonts w:ascii="FangSong_GB2312" w:eastAsia="FangSong_GB2312" w:hAnsi="FangSong_GB2312" w:cs="FangSong_GB2312" w:hint="eastAsia"/>
          <w:color w:val="000000"/>
          <w:sz w:val="32"/>
          <w:szCs w:val="32"/>
          <w:shd w:val="clear" w:color="auto" w:fill="FFFFFF"/>
        </w:rPr>
        <w:t>、“福满中国大地  圆梦千年神州，化校学子为祖国祈福”、参观西安八路军办事处、清明烈士陵园扫墓、传统文化进课堂诵读、 时代变迁演讲比赛、我的家乡摄影展、军训、国防教育等一系列活动广泛、深入、持久地对学生进行爱国主义教育和宣传，引导学生树立正确的世界观、人生观、价值观。</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sz w:val="32"/>
          <w:szCs w:val="32"/>
          <w:shd w:val="clear" w:color="auto" w:fill="FFFFFF"/>
        </w:rPr>
      </w:pPr>
      <w:r>
        <w:rPr>
          <w:rFonts w:ascii="FangSong_GB2312" w:eastAsia="FangSong_GB2312" w:hAnsi="FangSong_GB2312" w:cs="FangSong_GB2312" w:hint="eastAsia"/>
          <w:color w:val="000000"/>
          <w:sz w:val="32"/>
          <w:szCs w:val="32"/>
          <w:shd w:val="clear" w:color="auto" w:fill="FFFFFF"/>
        </w:rPr>
        <w:t>通过趣味运动会、跳长绳比赛、篮球赛、乒乓球比赛、“积极心态  乐观生活”心理健康讲座、手抄报比赛、硬笔书法比赛、轮滑社团等活动，促使学生身心健康成长。</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sz w:val="32"/>
          <w:szCs w:val="32"/>
          <w:shd w:val="clear" w:color="auto" w:fill="FFFFFF"/>
        </w:rPr>
      </w:pPr>
      <w:r>
        <w:rPr>
          <w:rFonts w:ascii="FangSong_GB2312" w:eastAsia="FangSong_GB2312" w:hAnsi="FangSong_GB2312" w:cs="FangSong_GB2312" w:hint="eastAsia"/>
          <w:color w:val="000000"/>
          <w:sz w:val="32"/>
          <w:szCs w:val="32"/>
          <w:shd w:val="clear" w:color="auto" w:fill="FFFFFF"/>
        </w:rPr>
        <w:t>通过消防教育、校园欺凌教育加强学生关爱生命，自我保护意识，成绩斐然。我校学生刘文华在全国禁毒公益歌曲《生命》征文中获得三等奖。</w:t>
      </w:r>
    </w:p>
    <w:bookmarkEnd w:id="2"/>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bCs/>
          <w:color w:val="000000"/>
          <w:kern w:val="0"/>
          <w:sz w:val="32"/>
          <w:szCs w:val="32"/>
        </w:rPr>
      </w:pPr>
      <w:r>
        <w:rPr>
          <w:rFonts w:ascii="FangSong_GB2312" w:eastAsia="FangSong_GB2312" w:hAnsi="FangSong_GB2312" w:cs="FangSong_GB2312" w:hint="eastAsia"/>
          <w:bCs/>
          <w:color w:val="000000"/>
          <w:kern w:val="0"/>
          <w:sz w:val="32"/>
          <w:szCs w:val="32"/>
        </w:rPr>
        <w:t xml:space="preserve">6.党建情况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本年度，校党委坚持以习近平新时代中国特色社会主义思想为指导，紧紧围绕学校中心工作任务，扎实推进我校党的政治、思想、组织、作风建设，为学校发展提供坚强保证。</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（1）校党委坚持把政治建设摆在首位，突出抓好党的政治建设。一是加强了对全校党员干部政治纪律、政治规矩和</w:t>
      </w:r>
      <w:r>
        <w:rPr>
          <w:rFonts w:ascii="FangSong_GB2312" w:eastAsia="FangSong_GB2312" w:hAnsi="FangSong_GB2312" w:cs="FangSong_GB2312" w:hint="eastAsia"/>
          <w:sz w:val="32"/>
          <w:szCs w:val="32"/>
        </w:rPr>
        <w:lastRenderedPageBreak/>
        <w:t>意识形态工作的教育、引导和管理。二是规范党内政治生活，严格执行《关于新形势下党内政治生活的若干准则》，认真落实“三会一课”、组织生活会等党内生活制度。三是弘扬积极健康的党内政治文化，充分利用学校校园网等载体，加强全校党员干部的党性教育和党性锻炼。</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2）校党委通过加强党员日常教育管理和开展系列主题教育活动来促进党员干部思想教育入脑入心入行。一是用习近平新时代中国特色社会主义思想武装头脑，引导各党支部积极参与上级组织的学习研讨，开展形式多样的教育培训。二是积极开展“不忘初心，牢记使命”主题教育，根据中央和省委要求，在班子成员中积极开展了“不忘初心，牢记使命”主题教育。三是认真抓好党员干部日常思想教育工作，按照中央“两学一做”学习教育常态化制度化的要求，推动学校工作。四是努力提高中心组学习质量，以中心组学习为引领带动全体党员干部的学习。五是积极开展十九大精神“三进”工作（“进课堂”“进教材”“进头脑”）。</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b/>
          <w:sz w:val="32"/>
          <w:szCs w:val="32"/>
        </w:rPr>
      </w:pPr>
      <w:r>
        <w:rPr>
          <w:rFonts w:ascii="FangSong_GB2312" w:eastAsia="FangSong_GB2312" w:hAnsi="FangSong_GB2312" w:cs="FangSong_GB2312" w:hint="eastAsia"/>
          <w:sz w:val="32"/>
          <w:szCs w:val="32"/>
        </w:rPr>
        <w:t>（3）校党委充分发挥了支部的战斗堡垒作用和党员的先锋模范作用，为学校组织工作奠定了扎实的基础。一是抓好党支部建设。学校机构调整后，及时调整支委。着力加强学校支部队伍建设，把党支部建设成为宣传党的主张、贯彻党的决定、团结动员群众的坚强战斗堡垒。二是抓好了党员队伍建设。继续抓好了党员积分管理制，提高了党员日常管理</w:t>
      </w:r>
      <w:r>
        <w:rPr>
          <w:rFonts w:ascii="FangSong_GB2312" w:eastAsia="FangSong_GB2312" w:hAnsi="FangSong_GB2312" w:cs="FangSong_GB2312" w:hint="eastAsia"/>
          <w:sz w:val="32"/>
          <w:szCs w:val="32"/>
        </w:rPr>
        <w:lastRenderedPageBreak/>
        <w:t>精细化水平。把党员积分台账与党员评优紧密结合，促进党员日常自我管理，自我提高。“七一”前夕，学校党委评选表彰了14名优秀共产党员、5名优秀党务工作者和1个先进基层党组织。三是严格落实了“三会一课”、组织生活会、民主评议党员、党费收缴使用管理等制度，提高了支部建设和党员教育管理的科学化、规范化水平。</w:t>
      </w:r>
    </w:p>
    <w:p w:rsidR="00BF3C64" w:rsidRDefault="00BF3C64" w:rsidP="00BF3C64">
      <w:pPr>
        <w:widowControl/>
        <w:shd w:val="clear" w:color="auto" w:fill="FFFFFF"/>
        <w:ind w:firstLineChars="200" w:firstLine="643"/>
        <w:jc w:val="left"/>
        <w:rPr>
          <w:rFonts w:ascii="FangSong_GB2312" w:eastAsia="FangSong_GB2312" w:hAnsi="FangSong_GB2312" w:cs="FangSong_GB2312" w:hint="eastAsia"/>
          <w:b/>
          <w:kern w:val="0"/>
          <w:sz w:val="32"/>
          <w:szCs w:val="32"/>
        </w:rPr>
      </w:pPr>
      <w:r>
        <w:rPr>
          <w:rFonts w:ascii="FangSong_GB2312" w:eastAsia="FangSong_GB2312" w:hAnsi="FangSong_GB2312" w:cs="FangSong_GB2312" w:hint="eastAsia"/>
          <w:b/>
          <w:bCs/>
          <w:kern w:val="0"/>
          <w:sz w:val="32"/>
          <w:szCs w:val="32"/>
        </w:rPr>
        <w:t>四</w:t>
      </w:r>
      <w:r>
        <w:rPr>
          <w:rFonts w:ascii="FangSong_GB2312" w:eastAsia="FangSong_GB2312" w:hAnsi="FangSong_GB2312" w:cs="FangSong_GB2312" w:hint="eastAsia"/>
          <w:b/>
          <w:sz w:val="32"/>
          <w:szCs w:val="32"/>
        </w:rPr>
        <w:t>、</w:t>
      </w:r>
      <w:r>
        <w:rPr>
          <w:rFonts w:ascii="FangSong_GB2312" w:eastAsia="FangSong_GB2312" w:hAnsi="FangSong_GB2312" w:cs="FangSong_GB2312" w:hint="eastAsia"/>
          <w:b/>
          <w:bCs/>
          <w:kern w:val="0"/>
          <w:sz w:val="32"/>
          <w:szCs w:val="32"/>
        </w:rPr>
        <w:t>校企合作</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1.校企合作开展情况和效果</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16"/>
          <w:sz w:val="32"/>
          <w:szCs w:val="32"/>
        </w:rPr>
      </w:pPr>
      <w:r>
        <w:rPr>
          <w:rFonts w:ascii="FangSong_GB2312" w:eastAsia="FangSong_GB2312" w:hAnsi="FangSong_GB2312" w:cs="FangSong_GB2312" w:hint="eastAsia"/>
          <w:kern w:val="16"/>
          <w:sz w:val="32"/>
          <w:szCs w:val="32"/>
        </w:rPr>
        <w:t>应陕西省天然气股份有限公司、咸阳天然气有限公司和商洛天然气有限责任公司等企业邀请，先后开展了七批302人，涉及初、中、高级输气工、压缩机操作工等工种的企业员工岗位技能培训鉴定及高级管理人员培训。学校成立领导小组，并明确任务和职责，全面协调各项工作，保证培训质量，使企业满意。制定详尽的培训工作方案，包括对外联络机制、学员管理制度、教学计划、考核方式、文体活动开展、后勤保障等方面。国家职业大典为准绳，以企业生产技术状况为依据，制定培训教学大纲；选派经验丰富的双师型教师授课，保证培训质量；按照国家职业技能鉴定质量管理制度要求和国家职业大典要求制定考核方案，保证鉴定结果严肃性。在学员日常管理中，强调准时、守纪的基本要求，体现“7S”的工作作风，以文体活动为载体，锤炼团队合作精神，培训结束召开结业会议，总结培训生活，为优秀学员颁发证</w:t>
      </w:r>
      <w:r>
        <w:rPr>
          <w:rFonts w:ascii="FangSong_GB2312" w:eastAsia="FangSong_GB2312" w:hAnsi="FangSong_GB2312" w:cs="FangSong_GB2312" w:hint="eastAsia"/>
          <w:kern w:val="16"/>
          <w:sz w:val="32"/>
          <w:szCs w:val="32"/>
        </w:rPr>
        <w:lastRenderedPageBreak/>
        <w:t>书。扎实、务实、创新的培训风格，为企业留下了深刻印象，为企业人才队伍建设作出了贡献，充实了校企合作的新内涵。本年度我校</w:t>
      </w:r>
      <w:r>
        <w:rPr>
          <w:rFonts w:ascii="FangSong_GB2312" w:eastAsia="FangSong_GB2312" w:hAnsi="FangSong_GB2312" w:cs="FangSong_GB2312" w:hint="eastAsia"/>
          <w:sz w:val="32"/>
          <w:szCs w:val="32"/>
        </w:rPr>
        <w:t>与比亚迪股份有限公司签订了校企合作协议，增设机电技术应用、化工机械与设备、化工仪表及自动化三个比亚迪定向班，开展订单培养模式，首年招生学生响应积极，使我校新生入学人数较上一年度有了显著提升。</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2.学生实习情况</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实习环节对工科专业学生学习尤为重要，对职业学校的教学不可缺少。但由于安全和经费原因，企业几乎都不愿意接收中职生实习，本年度情况依旧，为此，像往年一样，学校想方设法，挖掘校内资源潜力，将热力交换站作为实习场所，使学生了解工业水处理的原理、方法、流程和设备；了解工业冷热截至换热原理、方法、流程和设备；了解工业生产过程控制的仪表和方法；学习物料分析检验方法与操作；感知工业生产环境。另外，购置3D化工生产仿真软件，通过视频和VR技术，使学生尽可能直观化学习生产原理、了解生产流程和设备结构，联系操作控制技能。通过创新实习新途径，克服了困扰实习难的困难，保证了教学计划执行。</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3.集团化办学情况</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kern w:val="0"/>
          <w:sz w:val="32"/>
          <w:szCs w:val="32"/>
        </w:rPr>
        <w:t>学校为陕西化工职业教育集团理事单位，本年度为成员企业陕西省天然气股份有限公司、</w:t>
      </w:r>
      <w:r>
        <w:rPr>
          <w:rFonts w:ascii="FangSong_GB2312" w:eastAsia="FangSong_GB2312" w:hAnsi="FangSong_GB2312" w:cs="FangSong_GB2312" w:hint="eastAsia"/>
          <w:kern w:val="16"/>
          <w:sz w:val="32"/>
          <w:szCs w:val="32"/>
        </w:rPr>
        <w:t>咸阳天然气有限公司和商</w:t>
      </w:r>
      <w:r>
        <w:rPr>
          <w:rFonts w:ascii="FangSong_GB2312" w:eastAsia="FangSong_GB2312" w:hAnsi="FangSong_GB2312" w:cs="FangSong_GB2312" w:hint="eastAsia"/>
          <w:kern w:val="16"/>
          <w:sz w:val="32"/>
          <w:szCs w:val="32"/>
        </w:rPr>
        <w:lastRenderedPageBreak/>
        <w:t>洛天然气有限责任公司等企业</w:t>
      </w:r>
      <w:r>
        <w:rPr>
          <w:rFonts w:ascii="FangSong_GB2312" w:eastAsia="FangSong_GB2312" w:hAnsi="FangSong_GB2312" w:cs="FangSong_GB2312" w:hint="eastAsia"/>
          <w:kern w:val="0"/>
          <w:sz w:val="32"/>
          <w:szCs w:val="32"/>
        </w:rPr>
        <w:t>培训员工，聘请了企业技术人员作教师，校企融合培育企业人才队伍。</w:t>
      </w:r>
      <w:r>
        <w:rPr>
          <w:rFonts w:ascii="FangSong_GB2312" w:eastAsia="FangSong_GB2312" w:hAnsi="FangSong_GB2312" w:cs="FangSong_GB2312" w:hint="eastAsia"/>
          <w:color w:val="000000"/>
          <w:kern w:val="0"/>
          <w:sz w:val="32"/>
          <w:szCs w:val="32"/>
        </w:rPr>
        <w:t xml:space="preserve"> </w:t>
      </w:r>
    </w:p>
    <w:p w:rsidR="00BF3C64" w:rsidRDefault="00BF3C64" w:rsidP="00BF3C64">
      <w:pPr>
        <w:widowControl/>
        <w:shd w:val="clear" w:color="auto" w:fill="FFFFFF"/>
        <w:ind w:firstLineChars="200" w:firstLine="643"/>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b/>
          <w:color w:val="000000"/>
          <w:kern w:val="0"/>
          <w:sz w:val="32"/>
          <w:szCs w:val="32"/>
        </w:rPr>
        <w:t>五</w:t>
      </w:r>
      <w:r>
        <w:rPr>
          <w:rFonts w:ascii="FangSong_GB2312" w:eastAsia="FangSong_GB2312" w:hAnsi="FangSong_GB2312" w:cs="FangSong_GB2312" w:hint="eastAsia"/>
          <w:b/>
          <w:sz w:val="32"/>
          <w:szCs w:val="32"/>
        </w:rPr>
        <w:t>、</w:t>
      </w:r>
      <w:r>
        <w:rPr>
          <w:rFonts w:ascii="FangSong_GB2312" w:eastAsia="FangSong_GB2312" w:hAnsi="FangSong_GB2312" w:cs="FangSong_GB2312" w:hint="eastAsia"/>
          <w:b/>
          <w:bCs/>
          <w:color w:val="000000"/>
          <w:kern w:val="0"/>
          <w:sz w:val="32"/>
          <w:szCs w:val="32"/>
        </w:rPr>
        <w:t>社会贡献</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color w:val="000000"/>
          <w:kern w:val="0"/>
          <w:sz w:val="32"/>
          <w:szCs w:val="32"/>
        </w:rPr>
      </w:pPr>
      <w:r>
        <w:rPr>
          <w:rFonts w:ascii="FangSong_GB2312" w:eastAsia="FangSong_GB2312" w:hAnsi="FangSong_GB2312" w:cs="FangSong_GB2312" w:hint="eastAsia"/>
          <w:color w:val="000000"/>
          <w:kern w:val="0"/>
          <w:sz w:val="32"/>
          <w:szCs w:val="32"/>
        </w:rPr>
        <w:t xml:space="preserve">1.技术技能人才培养 </w:t>
      </w:r>
    </w:p>
    <w:p w:rsidR="00BF3C64" w:rsidRDefault="00BF3C64" w:rsidP="00BF3C64">
      <w:pPr>
        <w:widowControl/>
        <w:shd w:val="clear" w:color="auto" w:fill="FFFFFF"/>
        <w:spacing w:line="360" w:lineRule="auto"/>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color w:val="000000"/>
          <w:kern w:val="0"/>
          <w:sz w:val="32"/>
          <w:szCs w:val="32"/>
        </w:rPr>
        <w:t>本年度</w:t>
      </w:r>
      <w:r>
        <w:rPr>
          <w:rFonts w:ascii="FangSong_GB2312" w:eastAsia="FangSong_GB2312" w:hAnsi="FangSong_GB2312" w:cs="FangSong_GB2312" w:hint="eastAsia"/>
          <w:kern w:val="0"/>
          <w:sz w:val="32"/>
          <w:szCs w:val="32"/>
        </w:rPr>
        <w:t>，毕业学生数29人，就业学生数28人，就业率97%；对口就业学生数 10人，对口就业率为33%。在就业学生中，进入各级所有制企事业单位的学生人数为25人，占毕业学生比例为80%；升入高一级学校人数为1人，占毕业学生比例为3%。</w:t>
      </w:r>
    </w:p>
    <w:p w:rsidR="00BF3C64" w:rsidRDefault="00BF3C64" w:rsidP="00BF3C64">
      <w:pPr>
        <w:widowControl/>
        <w:shd w:val="clear" w:color="auto" w:fill="FFFFFF"/>
        <w:spacing w:line="360" w:lineRule="auto"/>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从事第二产业的毕业生数为25人，占就业学生数的86%；从事第三产业的毕业生数为3人，占就业学生数的10%。本地、异地就业情况：在本省就业的毕业生数 26人，占就业学生数的90%；到异地就业的毕业生数为2人，占就业学生数的7%。就业渠道情况：通过学校推荐就业的毕业生数为25人，占就业学生数的86%；其他渠道就业的毕业生数为3人，占就业学生数的10%。石油化工类：毕业生数29人，就业人数28人，对口就业人数10人，对口就业率33%；初次就业月收入2500-3000元之间。</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color w:val="000000"/>
          <w:kern w:val="0"/>
          <w:sz w:val="32"/>
          <w:szCs w:val="32"/>
        </w:rPr>
        <w:t>2.</w:t>
      </w:r>
      <w:r>
        <w:rPr>
          <w:rFonts w:ascii="FangSong_GB2312" w:eastAsia="FangSong_GB2312" w:hAnsi="FangSong_GB2312" w:cs="FangSong_GB2312" w:hint="eastAsia"/>
          <w:kern w:val="0"/>
          <w:sz w:val="32"/>
          <w:szCs w:val="32"/>
        </w:rPr>
        <w:t>社会服务</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16"/>
          <w:sz w:val="32"/>
          <w:szCs w:val="32"/>
        </w:rPr>
      </w:pPr>
      <w:r>
        <w:rPr>
          <w:rFonts w:ascii="FangSong_GB2312" w:eastAsia="FangSong_GB2312" w:hAnsi="FangSong_GB2312" w:cs="FangSong_GB2312" w:hint="eastAsia"/>
          <w:kern w:val="16"/>
          <w:sz w:val="32"/>
          <w:szCs w:val="32"/>
        </w:rPr>
        <w:t>挖掘优质教育教学资源，服务社会和地方经济建设。承担陕西省天然气股份有限公司、咸阳天然气有限公司、商洛天然气有限公司员工“输气工”、“压缩机操作工”和“维修</w:t>
      </w:r>
      <w:r>
        <w:rPr>
          <w:rFonts w:ascii="FangSong_GB2312" w:eastAsia="FangSong_GB2312" w:hAnsi="FangSong_GB2312" w:cs="FangSong_GB2312" w:hint="eastAsia"/>
          <w:kern w:val="16"/>
          <w:sz w:val="32"/>
          <w:szCs w:val="32"/>
        </w:rPr>
        <w:lastRenderedPageBreak/>
        <w:t xml:space="preserve">电工”的技能培训工作，参加学员共计302人；培训方案体现技能人才要求，培训内容紧扣职业标准，融合企业生产工艺和企业文化，培训过程扎实、教学做一体，严格资格审核、规范鉴定程序、理论试卷采用国家题库随即组卷，实操试卷设计合理可行，考核过程公平、公正、公开，办证及时，工作作风严谨、细致，深得上级赞扬和社会认可。 </w:t>
      </w:r>
    </w:p>
    <w:p w:rsidR="00BF3C64" w:rsidRDefault="00BF3C64" w:rsidP="00BF3C64">
      <w:pPr>
        <w:widowControl/>
        <w:shd w:val="clear" w:color="auto" w:fill="FFFFFF"/>
        <w:ind w:firstLineChars="200" w:firstLine="640"/>
        <w:jc w:val="left"/>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kern w:val="0"/>
          <w:sz w:val="32"/>
          <w:szCs w:val="32"/>
        </w:rPr>
        <w:t xml:space="preserve">3.对口支援  </w:t>
      </w:r>
    </w:p>
    <w:p w:rsidR="00BF3C64" w:rsidRDefault="00BF3C64" w:rsidP="00BF3C64">
      <w:pPr>
        <w:ind w:firstLine="640"/>
        <w:jc w:val="left"/>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根据省教育厅机关党委的扶贫工作部署和帮扶要求，为了进一步贯彻落实我省扶贫攻坚工作，配合子洲县打赢脱贫攻坚战，学校领导多次到子洲县三川口镇阳湾村刘家沟实地走访调研，对帮扶对象安树生的家庭情况进行摸底，了解其家庭成员精神面貌以及家庭脱贫程度，安排专人负责并，在前期的帮扶计划基础上，根据实施效果和</w:t>
      </w:r>
      <w:bookmarkStart w:id="3" w:name="_Hlk530576367"/>
      <w:r>
        <w:rPr>
          <w:rFonts w:ascii="FangSong_GB2312" w:eastAsia="FangSong_GB2312" w:hAnsi="FangSong_GB2312" w:cs="FangSong_GB2312" w:hint="eastAsia"/>
          <w:sz w:val="32"/>
          <w:szCs w:val="32"/>
        </w:rPr>
        <w:t>安树生</w:t>
      </w:r>
      <w:bookmarkEnd w:id="3"/>
      <w:r>
        <w:rPr>
          <w:rFonts w:ascii="FangSong_GB2312" w:eastAsia="FangSong_GB2312" w:hAnsi="FangSong_GB2312" w:cs="FangSong_GB2312" w:hint="eastAsia"/>
          <w:sz w:val="32"/>
          <w:szCs w:val="32"/>
        </w:rPr>
        <w:t>的家庭现状，经过反复讨论和分析后，进一步修改和完善帮扶计划。在我校的帮扶下，安树生及家人的精神面貌焕然一新，全家人对彻底摆脱贫困，走上致富之路充满信心。</w:t>
      </w:r>
    </w:p>
    <w:p w:rsidR="00BF3C64" w:rsidRDefault="00BF3C64" w:rsidP="00BF3C64">
      <w:pPr>
        <w:ind w:firstLineChars="200" w:firstLine="640"/>
        <w:rPr>
          <w:rFonts w:ascii="FangSong_GB2312" w:eastAsia="FangSong_GB2312" w:hAnsi="FangSong_GB2312" w:cs="FangSong_GB2312" w:hint="eastAsia"/>
          <w:kern w:val="0"/>
          <w:sz w:val="32"/>
          <w:szCs w:val="32"/>
        </w:rPr>
      </w:pPr>
      <w:r>
        <w:rPr>
          <w:rFonts w:ascii="FangSong_GB2312" w:eastAsia="FangSong_GB2312" w:hAnsi="FangSong_GB2312" w:cs="FangSong_GB2312" w:hint="eastAsia"/>
          <w:sz w:val="32"/>
          <w:szCs w:val="32"/>
        </w:rPr>
        <w:t>本年度年，我校对本校建档立卡贫困户学生进行了走访，走访了陕西省商洛市丹凤县、渭南市华州区瓜坡镇等地，通过走访我们对困难学生家庭生活状况有了更加真实、细致的了解，为学校今后扶贫帮困助学奠定了基础。</w:t>
      </w:r>
    </w:p>
    <w:p w:rsidR="00BF3C64" w:rsidRDefault="00BF3C64" w:rsidP="00BF3C64">
      <w:pPr>
        <w:widowControl/>
        <w:shd w:val="clear" w:color="auto" w:fill="FFFFFF"/>
        <w:ind w:firstLineChars="200" w:firstLine="643"/>
        <w:jc w:val="left"/>
        <w:rPr>
          <w:rFonts w:ascii="FangSong_GB2312" w:eastAsia="FangSong_GB2312" w:hAnsi="FangSong_GB2312" w:cs="FangSong_GB2312" w:hint="eastAsia"/>
          <w:b/>
          <w:sz w:val="32"/>
          <w:szCs w:val="32"/>
        </w:rPr>
      </w:pPr>
      <w:r>
        <w:rPr>
          <w:rFonts w:ascii="FangSong_GB2312" w:eastAsia="FangSong_GB2312" w:hAnsi="FangSong_GB2312" w:cs="FangSong_GB2312" w:hint="eastAsia"/>
          <w:b/>
          <w:sz w:val="32"/>
          <w:szCs w:val="32"/>
        </w:rPr>
        <w:t>六、举办者履责</w:t>
      </w:r>
    </w:p>
    <w:p w:rsidR="00BF3C64" w:rsidRDefault="00BF3C64" w:rsidP="00BF3C64">
      <w:pPr>
        <w:ind w:firstLineChars="200" w:firstLine="643"/>
        <w:rPr>
          <w:rFonts w:ascii="FangSong_GB2312" w:eastAsia="FangSong_GB2312" w:hAnsi="FangSong_GB2312" w:cs="FangSong_GB2312" w:hint="eastAsia"/>
          <w:sz w:val="32"/>
          <w:szCs w:val="32"/>
        </w:rPr>
      </w:pPr>
      <w:r>
        <w:rPr>
          <w:rFonts w:ascii="FangSong_GB2312" w:eastAsia="FangSong_GB2312" w:hAnsi="FangSong_GB2312" w:cs="FangSong_GB2312" w:hint="eastAsia"/>
          <w:b/>
          <w:sz w:val="32"/>
          <w:szCs w:val="32"/>
        </w:rPr>
        <w:t xml:space="preserve"> </w:t>
      </w:r>
      <w:r>
        <w:rPr>
          <w:rFonts w:ascii="FangSong_GB2312" w:eastAsia="FangSong_GB2312" w:hAnsi="FangSong_GB2312" w:cs="FangSong_GB2312" w:hint="eastAsia"/>
          <w:sz w:val="32"/>
          <w:szCs w:val="32"/>
        </w:rPr>
        <w:t>1.经费</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lastRenderedPageBreak/>
        <w:t xml:space="preserve">本年度，我校收到财政拨款专项资金共计351.8万元，包括2017年教师培训实践经费1.8万元，2018年政府采购专项资金300万元，2018年中等职业教育质量提升补助资金50万元。资金投入情况为骨干教师师资培训1.8万元，政府采购协议供货计算机及网络设备15万元。 </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 xml:space="preserve"> 2.政策措施</w:t>
      </w:r>
    </w:p>
    <w:p w:rsidR="00BF3C64" w:rsidRDefault="00BF3C64" w:rsidP="00BF3C64">
      <w:pPr>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 xml:space="preserve">本年度，中职石油化工类学校和专业的招生数量下滑现象有所缓解，原因是由于石油化工类企业进行转型升级对人才需求减少，石油化工高职和本科毕业生共给增多、社会对石油化工“妖魔化”影响家长及生源学生迟疑选择就读石油化工专业等因素，政府虽然加大了职普教育协调力度、打通了中职毕业生上升通道，但见效还需时日。 </w:t>
      </w:r>
    </w:p>
    <w:p w:rsidR="00BF3C64" w:rsidRDefault="00BF3C64" w:rsidP="00BF3C64">
      <w:pPr>
        <w:pStyle w:val="a6"/>
        <w:spacing w:before="0" w:beforeAutospacing="0" w:after="0" w:afterAutospacing="0"/>
        <w:ind w:firstLineChars="200" w:firstLine="643"/>
        <w:rPr>
          <w:rFonts w:ascii="FangSong_GB2312" w:eastAsia="FangSong_GB2312" w:hAnsi="FangSong_GB2312" w:cs="FangSong_GB2312" w:hint="eastAsia"/>
          <w:b/>
          <w:bCs/>
          <w:color w:val="000000"/>
          <w:sz w:val="32"/>
          <w:szCs w:val="32"/>
        </w:rPr>
      </w:pPr>
      <w:r>
        <w:rPr>
          <w:rFonts w:ascii="FangSong_GB2312" w:eastAsia="FangSong_GB2312" w:hAnsi="FangSong_GB2312" w:cs="FangSong_GB2312" w:hint="eastAsia"/>
          <w:b/>
          <w:bCs/>
          <w:color w:val="000000"/>
          <w:sz w:val="32"/>
          <w:szCs w:val="32"/>
        </w:rPr>
        <w:t>七</w:t>
      </w:r>
      <w:r>
        <w:rPr>
          <w:rFonts w:ascii="FangSong_GB2312" w:eastAsia="FangSong_GB2312" w:hAnsi="FangSong_GB2312" w:cs="FangSong_GB2312" w:hint="eastAsia"/>
          <w:b/>
          <w:sz w:val="32"/>
          <w:szCs w:val="32"/>
        </w:rPr>
        <w:t>、</w:t>
      </w:r>
      <w:r>
        <w:rPr>
          <w:rFonts w:ascii="FangSong_GB2312" w:eastAsia="FangSong_GB2312" w:hAnsi="FangSong_GB2312" w:cs="FangSong_GB2312" w:hint="eastAsia"/>
          <w:b/>
          <w:bCs/>
          <w:color w:val="000000"/>
          <w:sz w:val="32"/>
          <w:szCs w:val="32"/>
        </w:rPr>
        <w:t>主要问题和改进措施</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像其他大多数兄弟中职校学校一样，学校遇到了连续几年的招生数量锐减的问题，深陷招生困境。究其原因，既有大环境影响，也有小环境的影响。国家实行经济转型升级，石油化工行业面临“去产能、调结构、提质量”的压力，对毕业生的数量需求减少；高职及部分本科院校招生实行分类考试，入学门槛降低，挤压中职生源空间；社会对石油化工行业的“妖魔化”，使家长和毕业生谈“化”色变，不愿选择石油化工专业就读；专业设置单一，全是清一色的石油化工类，与行业发展一损俱损；中职文凭低，处在学历链的最</w:t>
      </w:r>
      <w:r>
        <w:rPr>
          <w:rFonts w:ascii="FangSong_GB2312" w:eastAsia="FangSong_GB2312" w:hAnsi="FangSong_GB2312" w:cs="FangSong_GB2312" w:hint="eastAsia"/>
          <w:color w:val="000000"/>
          <w:sz w:val="32"/>
          <w:szCs w:val="32"/>
        </w:rPr>
        <w:lastRenderedPageBreak/>
        <w:t>低端；中职生在企业和社会被歧视严重，无上升空间，因此初中毕业生更愿意读高中而不愿上中职。</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color w:val="000000"/>
          <w:sz w:val="32"/>
          <w:szCs w:val="32"/>
        </w:rPr>
        <w:t>学校办学历史悠长，基础设施薄弱，实习场地不足。由于石油化工类专业实训设备外形庞大、操作运行环境要求高，需要专门的场地，而建设新实训场地，费用太大，学校无力实施。</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color w:val="000000"/>
          <w:sz w:val="32"/>
          <w:szCs w:val="32"/>
        </w:rPr>
      </w:pPr>
      <w:r>
        <w:rPr>
          <w:rFonts w:ascii="FangSong_GB2312" w:eastAsia="FangSong_GB2312" w:hAnsi="FangSong_GB2312" w:cs="FangSong_GB2312" w:hint="eastAsia"/>
          <w:sz w:val="32"/>
          <w:szCs w:val="32"/>
        </w:rPr>
        <w:t>对于上述问题，学校领导非常重视，积极寻求解决措施。开办新专业 ，</w:t>
      </w:r>
      <w:r>
        <w:rPr>
          <w:rFonts w:ascii="FangSong_GB2312" w:eastAsia="FangSong_GB2312" w:hAnsi="FangSong_GB2312" w:cs="FangSong_GB2312" w:hint="eastAsia"/>
          <w:color w:val="000000"/>
          <w:sz w:val="32"/>
          <w:szCs w:val="32"/>
        </w:rPr>
        <w:t>跳出石油化工思维局限，着眼新经济谋划专业，培育发展能力。打破就传统产业设置石油化工类专业定势，以现有专业为基础，着眼工业4.0产业发展，</w:t>
      </w:r>
      <w:r>
        <w:rPr>
          <w:rFonts w:ascii="FangSong_GB2312" w:eastAsia="FangSong_GB2312" w:hAnsi="FangSong_GB2312" w:cs="FangSong_GB2312" w:hint="eastAsia"/>
          <w:sz w:val="32"/>
          <w:szCs w:val="32"/>
        </w:rPr>
        <w:t>与比亚迪股份有限公司签订了校企合作协议，增设机电技术应用、化工机械与设备、化工仪表及自动化三个比亚迪定向班，开展订单培养模式，为学生的就业免除后顾之忧。</w:t>
      </w:r>
      <w:r>
        <w:rPr>
          <w:rFonts w:ascii="FangSong_GB2312" w:eastAsia="FangSong_GB2312" w:hAnsi="FangSong_GB2312" w:cs="FangSong_GB2312" w:hint="eastAsia"/>
          <w:color w:val="000000"/>
          <w:sz w:val="32"/>
          <w:szCs w:val="32"/>
        </w:rPr>
        <w:t xml:space="preserve">学校已初步形成专业动态调整机制，及时适应人才市场需求变化。 </w:t>
      </w:r>
    </w:p>
    <w:p w:rsidR="00BF3C64" w:rsidRDefault="00BF3C64" w:rsidP="00BF3C64">
      <w:pPr>
        <w:pStyle w:val="a6"/>
        <w:spacing w:before="0" w:beforeAutospacing="0" w:after="0" w:afterAutospacing="0"/>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（备注：报告中统计数据时间为：2017年9月1日—2018年8月31日）</w:t>
      </w:r>
    </w:p>
    <w:p w:rsidR="00BF3C64" w:rsidRDefault="00BF3C64" w:rsidP="00BF3C64">
      <w:pPr>
        <w:pStyle w:val="a6"/>
        <w:spacing w:before="0" w:beforeAutospacing="0" w:after="0" w:afterAutospacing="0"/>
        <w:ind w:firstLineChars="1900" w:firstLine="6080"/>
        <w:rPr>
          <w:rFonts w:ascii="FangSong_GB2312" w:eastAsia="FangSong_GB2312" w:hAnsi="FangSong_GB2312" w:cs="FangSong_GB2312" w:hint="eastAsia"/>
          <w:sz w:val="32"/>
          <w:szCs w:val="32"/>
        </w:rPr>
      </w:pPr>
      <w:r>
        <w:rPr>
          <w:rFonts w:ascii="FangSong_GB2312" w:eastAsia="FangSong_GB2312" w:hAnsi="FangSong_GB2312" w:cs="FangSong_GB2312" w:hint="eastAsia"/>
          <w:color w:val="000000"/>
          <w:sz w:val="32"/>
          <w:szCs w:val="32"/>
        </w:rPr>
        <w:t xml:space="preserve">                              </w:t>
      </w:r>
    </w:p>
    <w:p w:rsidR="00D10B57" w:rsidRPr="00BF3C64" w:rsidRDefault="00D10B57"/>
    <w:sectPr w:rsidR="00D10B57" w:rsidRPr="00BF3C64">
      <w:footerReference w:type="even" r:id="rId7"/>
      <w:footerReference w:type="default" r:id="rId8"/>
      <w:footerReference w:type="first" r:id="rId9"/>
      <w:pgSz w:w="11906" w:h="16838"/>
      <w:pgMar w:top="1440" w:right="1646"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B57" w:rsidRDefault="00D10B57" w:rsidP="00BF3C64">
      <w:r>
        <w:separator/>
      </w:r>
    </w:p>
  </w:endnote>
  <w:endnote w:type="continuationSeparator" w:id="1">
    <w:p w:rsidR="00D10B57" w:rsidRDefault="00D10B57" w:rsidP="00BF3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0B57">
    <w:pPr>
      <w:pStyle w:val="a4"/>
      <w:framePr w:wrap="around" w:vAnchor="text" w:hAnchor="margin" w:xAlign="center" w:y="1"/>
      <w:rPr>
        <w:rStyle w:val="a5"/>
      </w:rPr>
    </w:pPr>
    <w:r>
      <w:fldChar w:fldCharType="begin"/>
    </w:r>
    <w:r>
      <w:rPr>
        <w:rStyle w:val="a5"/>
      </w:rPr>
      <w:instrText xml:space="preserve">PAGE  </w:instrText>
    </w:r>
    <w:r>
      <w:fldChar w:fldCharType="end"/>
    </w:r>
  </w:p>
  <w:p w:rsidR="00000000" w:rsidRDefault="00D10B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0B57">
    <w:pPr>
      <w:pStyle w:val="a4"/>
      <w:jc w:val="center"/>
    </w:pPr>
    <w:r>
      <w:fldChar w:fldCharType="begin"/>
    </w:r>
    <w:r>
      <w:instrText>PAGE   \* MERGEFORMAT</w:instrText>
    </w:r>
    <w:r>
      <w:fldChar w:fldCharType="separate"/>
    </w:r>
    <w:r w:rsidR="00BF3C64" w:rsidRPr="00BF3C64">
      <w:rPr>
        <w:noProof/>
        <w:lang w:val="zh-CN"/>
      </w:rPr>
      <w:t>-</w:t>
    </w:r>
    <w:r w:rsidR="00BF3C64">
      <w:rPr>
        <w:noProof/>
      </w:rPr>
      <w:t xml:space="preserve"> 16 -</w:t>
    </w:r>
    <w:r>
      <w:fldChar w:fldCharType="end"/>
    </w:r>
  </w:p>
  <w:p w:rsidR="00000000" w:rsidRDefault="00D10B5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0B57">
    <w:pPr>
      <w:pStyle w:val="a4"/>
      <w:jc w:val="center"/>
    </w:pPr>
    <w:r>
      <w:fldChar w:fldCharType="begin"/>
    </w:r>
    <w:r>
      <w:instrText>PAGE   \* MERGEFORMAT</w:instrText>
    </w:r>
    <w:r>
      <w:fldChar w:fldCharType="separate"/>
    </w:r>
    <w:r>
      <w:rPr>
        <w:lang w:val="zh-CN"/>
      </w:rPr>
      <w:t>2</w:t>
    </w:r>
    <w:r>
      <w:fldChar w:fldCharType="end"/>
    </w:r>
  </w:p>
  <w:p w:rsidR="00000000" w:rsidRDefault="00D10B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B57" w:rsidRDefault="00D10B57" w:rsidP="00BF3C64">
      <w:r>
        <w:separator/>
      </w:r>
    </w:p>
  </w:footnote>
  <w:footnote w:type="continuationSeparator" w:id="1">
    <w:p w:rsidR="00D10B57" w:rsidRDefault="00D10B57" w:rsidP="00BF3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64"/>
    <w:rsid w:val="00BF3C64"/>
    <w:rsid w:val="00D10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64"/>
    <w:pPr>
      <w:widowControl w:val="0"/>
      <w:jc w:val="both"/>
    </w:pPr>
    <w:rPr>
      <w:rFonts w:ascii="Times New Roman" w:eastAsia="宋体" w:hAnsi="Times New Roman" w:cs="Times New Roman"/>
      <w:szCs w:val="24"/>
    </w:rPr>
  </w:style>
  <w:style w:type="paragraph" w:styleId="1">
    <w:name w:val="heading 1"/>
    <w:basedOn w:val="a"/>
    <w:link w:val="1Char"/>
    <w:qFormat/>
    <w:rsid w:val="00BF3C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3C64"/>
    <w:rPr>
      <w:sz w:val="18"/>
      <w:szCs w:val="18"/>
    </w:rPr>
  </w:style>
  <w:style w:type="paragraph" w:styleId="a4">
    <w:name w:val="footer"/>
    <w:basedOn w:val="a"/>
    <w:link w:val="Char0"/>
    <w:uiPriority w:val="99"/>
    <w:unhideWhenUsed/>
    <w:rsid w:val="00BF3C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3C64"/>
    <w:rPr>
      <w:sz w:val="18"/>
      <w:szCs w:val="18"/>
    </w:rPr>
  </w:style>
  <w:style w:type="character" w:customStyle="1" w:styleId="1Char">
    <w:name w:val="标题 1 Char"/>
    <w:basedOn w:val="a0"/>
    <w:link w:val="1"/>
    <w:rsid w:val="00BF3C64"/>
    <w:rPr>
      <w:rFonts w:ascii="宋体" w:eastAsia="宋体" w:hAnsi="宋体" w:cs="宋体"/>
      <w:b/>
      <w:bCs/>
      <w:kern w:val="36"/>
      <w:sz w:val="48"/>
      <w:szCs w:val="48"/>
    </w:rPr>
  </w:style>
  <w:style w:type="character" w:styleId="a5">
    <w:name w:val="page number"/>
    <w:basedOn w:val="a0"/>
    <w:rsid w:val="00BF3C64"/>
  </w:style>
  <w:style w:type="paragraph" w:styleId="a6">
    <w:name w:val="Normal (Web)"/>
    <w:basedOn w:val="a"/>
    <w:rsid w:val="00BF3C64"/>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BF3C64"/>
    <w:rPr>
      <w:sz w:val="18"/>
      <w:szCs w:val="18"/>
    </w:rPr>
  </w:style>
  <w:style w:type="character" w:customStyle="1" w:styleId="Char1">
    <w:name w:val="批注框文本 Char"/>
    <w:basedOn w:val="a0"/>
    <w:link w:val="a7"/>
    <w:uiPriority w:val="99"/>
    <w:semiHidden/>
    <w:rsid w:val="00BF3C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4492753623188406"/>
          <c:y val="0.16279069767441864"/>
          <c:w val="0.39130434782608714"/>
          <c:h val="0.53488372093023229"/>
        </c:manualLayout>
      </c:layout>
      <c:bar3DChart>
        <c:barDir val="col"/>
        <c:grouping val="clustered"/>
        <c:ser>
          <c:idx val="0"/>
          <c:order val="0"/>
          <c:tx>
            <c:strRef>
              <c:f>Sheet1!$A$2</c:f>
              <c:strCache>
                <c:ptCount val="1"/>
                <c:pt idx="0">
                  <c:v>初中专</c:v>
                </c:pt>
              </c:strCache>
            </c:strRef>
          </c:tx>
          <c:spPr>
            <a:solidFill>
              <a:srgbClr val="9999FF"/>
            </a:solidFill>
            <a:ln w="10182">
              <a:solidFill>
                <a:srgbClr val="000000"/>
              </a:solidFill>
              <a:prstDash val="solid"/>
            </a:ln>
          </c:spPr>
          <c:cat>
            <c:numRef>
              <c:f>Sheet1!$B$1:$E$1</c:f>
              <c:numCache>
                <c:formatCode>General</c:formatCode>
                <c:ptCount val="4"/>
                <c:pt idx="0">
                  <c:v>2017</c:v>
                </c:pt>
                <c:pt idx="1">
                  <c:v>2018</c:v>
                </c:pt>
              </c:numCache>
            </c:numRef>
          </c:cat>
          <c:val>
            <c:numRef>
              <c:f>Sheet1!$B$2:$E$2</c:f>
              <c:numCache>
                <c:formatCode>General</c:formatCode>
                <c:ptCount val="4"/>
                <c:pt idx="0">
                  <c:v>123</c:v>
                </c:pt>
                <c:pt idx="1">
                  <c:v>129</c:v>
                </c:pt>
                <c:pt idx="3">
                  <c:v>20.399999999999999</c:v>
                </c:pt>
              </c:numCache>
            </c:numRef>
          </c:val>
        </c:ser>
        <c:ser>
          <c:idx val="1"/>
          <c:order val="1"/>
          <c:tx>
            <c:strRef>
              <c:f>Sheet1!$A$3</c:f>
              <c:strCache>
                <c:ptCount val="1"/>
                <c:pt idx="0">
                  <c:v>高中专</c:v>
                </c:pt>
              </c:strCache>
            </c:strRef>
          </c:tx>
          <c:spPr>
            <a:solidFill>
              <a:srgbClr val="993366"/>
            </a:solidFill>
            <a:ln w="10182">
              <a:solidFill>
                <a:srgbClr val="000000"/>
              </a:solidFill>
              <a:prstDash val="solid"/>
            </a:ln>
          </c:spPr>
          <c:cat>
            <c:numRef>
              <c:f>Sheet1!$B$1:$E$1</c:f>
              <c:numCache>
                <c:formatCode>General</c:formatCode>
                <c:ptCount val="4"/>
                <c:pt idx="0">
                  <c:v>2017</c:v>
                </c:pt>
                <c:pt idx="1">
                  <c:v>2018</c:v>
                </c:pt>
              </c:numCache>
            </c:numRef>
          </c:cat>
          <c:val>
            <c:numRef>
              <c:f>Sheet1!$B$3:$E$3</c:f>
              <c:numCache>
                <c:formatCode>General</c:formatCode>
                <c:ptCount val="4"/>
                <c:pt idx="0">
                  <c:v>2</c:v>
                </c:pt>
                <c:pt idx="1">
                  <c:v>25</c:v>
                </c:pt>
                <c:pt idx="3">
                  <c:v>31.6</c:v>
                </c:pt>
              </c:numCache>
            </c:numRef>
          </c:val>
        </c:ser>
        <c:ser>
          <c:idx val="2"/>
          <c:order val="2"/>
          <c:tx>
            <c:strRef>
              <c:f>Sheet1!$A$4</c:f>
              <c:strCache>
                <c:ptCount val="1"/>
                <c:pt idx="0">
                  <c:v>企业培训人员</c:v>
                </c:pt>
              </c:strCache>
            </c:strRef>
          </c:tx>
          <c:spPr>
            <a:solidFill>
              <a:srgbClr val="FFFFCC"/>
            </a:solidFill>
            <a:ln w="10182">
              <a:solidFill>
                <a:srgbClr val="000000"/>
              </a:solidFill>
              <a:prstDash val="solid"/>
            </a:ln>
          </c:spPr>
          <c:cat>
            <c:numRef>
              <c:f>Sheet1!$B$1:$E$1</c:f>
              <c:numCache>
                <c:formatCode>General</c:formatCode>
                <c:ptCount val="4"/>
                <c:pt idx="0">
                  <c:v>2017</c:v>
                </c:pt>
                <c:pt idx="1">
                  <c:v>2018</c:v>
                </c:pt>
              </c:numCache>
            </c:numRef>
          </c:cat>
          <c:val>
            <c:numRef>
              <c:f>Sheet1!$B$4:$E$4</c:f>
              <c:numCache>
                <c:formatCode>General</c:formatCode>
                <c:ptCount val="4"/>
                <c:pt idx="0">
                  <c:v>326</c:v>
                </c:pt>
                <c:pt idx="1">
                  <c:v>302</c:v>
                </c:pt>
                <c:pt idx="2">
                  <c:v>45</c:v>
                </c:pt>
                <c:pt idx="3">
                  <c:v>43.9</c:v>
                </c:pt>
              </c:numCache>
            </c:numRef>
          </c:val>
        </c:ser>
        <c:gapDepth val="0"/>
        <c:shape val="box"/>
        <c:axId val="259381120"/>
        <c:axId val="110051328"/>
        <c:axId val="0"/>
      </c:bar3DChart>
      <c:catAx>
        <c:axId val="259381120"/>
        <c:scaling>
          <c:orientation val="minMax"/>
        </c:scaling>
        <c:axPos val="b"/>
        <c:numFmt formatCode="General" sourceLinked="1"/>
        <c:majorTickMark val="in"/>
        <c:tickLblPos val="low"/>
        <c:spPr>
          <a:ln w="2546">
            <a:solidFill>
              <a:srgbClr val="000000"/>
            </a:solidFill>
            <a:prstDash val="solid"/>
          </a:ln>
        </c:spPr>
        <c:txPr>
          <a:bodyPr rot="0" vert="horz"/>
          <a:lstStyle/>
          <a:p>
            <a:pPr>
              <a:defRPr sz="341" b="0" i="0" u="none" strike="noStrike" baseline="0">
                <a:solidFill>
                  <a:srgbClr val="000000"/>
                </a:solidFill>
                <a:latin typeface="Calibri"/>
                <a:ea typeface="Calibri"/>
                <a:cs typeface="Calibri"/>
              </a:defRPr>
            </a:pPr>
            <a:endParaRPr lang="zh-CN"/>
          </a:p>
        </c:txPr>
        <c:crossAx val="110051328"/>
        <c:crosses val="autoZero"/>
        <c:auto val="1"/>
        <c:lblAlgn val="ctr"/>
        <c:lblOffset val="100"/>
        <c:tickLblSkip val="2"/>
        <c:tickMarkSkip val="1"/>
      </c:catAx>
      <c:valAx>
        <c:axId val="110051328"/>
        <c:scaling>
          <c:orientation val="minMax"/>
        </c:scaling>
        <c:axPos val="l"/>
        <c:majorGridlines>
          <c:spPr>
            <a:ln w="2546">
              <a:solidFill>
                <a:srgbClr val="000000"/>
              </a:solidFill>
              <a:prstDash val="solid"/>
            </a:ln>
          </c:spPr>
        </c:majorGridlines>
        <c:numFmt formatCode="General" sourceLinked="1"/>
        <c:majorTickMark val="in"/>
        <c:tickLblPos val="nextTo"/>
        <c:spPr>
          <a:ln w="2546">
            <a:solidFill>
              <a:srgbClr val="000000"/>
            </a:solidFill>
            <a:prstDash val="solid"/>
          </a:ln>
        </c:spPr>
        <c:txPr>
          <a:bodyPr rot="0" vert="horz"/>
          <a:lstStyle/>
          <a:p>
            <a:pPr>
              <a:defRPr sz="341" b="0" i="0" u="none" strike="noStrike" baseline="0">
                <a:solidFill>
                  <a:srgbClr val="000000"/>
                </a:solidFill>
                <a:latin typeface="Calibri"/>
                <a:ea typeface="Calibri"/>
                <a:cs typeface="Calibri"/>
              </a:defRPr>
            </a:pPr>
            <a:endParaRPr lang="zh-CN"/>
          </a:p>
        </c:txPr>
        <c:crossAx val="259381120"/>
        <c:crosses val="autoZero"/>
        <c:crossBetween val="between"/>
      </c:valAx>
      <c:spPr>
        <a:noFill/>
        <a:ln w="20365">
          <a:noFill/>
        </a:ln>
      </c:spPr>
    </c:plotArea>
    <c:legend>
      <c:legendPos val="r"/>
      <c:layout>
        <c:manualLayout>
          <c:xMode val="edge"/>
          <c:yMode val="edge"/>
          <c:x val="0.61594202898550743"/>
          <c:y val="0.26744186046511625"/>
          <c:w val="0.35507246376811608"/>
          <c:h val="0.46511627906976766"/>
        </c:manualLayout>
      </c:layout>
      <c:spPr>
        <a:noFill/>
        <a:ln w="2546">
          <a:solidFill>
            <a:srgbClr val="000000"/>
          </a:solidFill>
          <a:prstDash val="solid"/>
        </a:ln>
      </c:spPr>
      <c:txPr>
        <a:bodyPr/>
        <a:lstStyle/>
        <a:p>
          <a:pPr>
            <a:defRPr sz="313" b="0" i="0" u="none" strike="noStrike" baseline="0">
              <a:solidFill>
                <a:srgbClr val="000000"/>
              </a:solidFill>
              <a:latin typeface="Calibri"/>
              <a:ea typeface="Calibri"/>
              <a:cs typeface="Calibri"/>
            </a:defRPr>
          </a:pPr>
          <a:endParaRPr lang="zh-CN"/>
        </a:p>
      </c:txPr>
    </c:legend>
    <c:plotVisOnly val="1"/>
    <c:dispBlanksAs val="gap"/>
  </c:chart>
  <c:spPr>
    <a:noFill/>
    <a:ln>
      <a:noFill/>
    </a:ln>
  </c:spPr>
  <c:txPr>
    <a:bodyPr/>
    <a:lstStyle/>
    <a:p>
      <a:pPr>
        <a:defRPr sz="341" b="0" i="0" u="none" strike="noStrike" baseline="0">
          <a:solidFill>
            <a:srgbClr val="000000"/>
          </a:solidFill>
          <a:latin typeface="Calibri"/>
          <a:ea typeface="Calibri"/>
          <a:cs typeface="Calibri"/>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1269</Words>
  <Characters>7239</Characters>
  <Application>Microsoft Office Word</Application>
  <DocSecurity>0</DocSecurity>
  <Lines>60</Lines>
  <Paragraphs>16</Paragraphs>
  <ScaleCrop>false</ScaleCrop>
  <Company>微软公司</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2020-07-24T08:31:00Z</dcterms:created>
  <dcterms:modified xsi:type="dcterms:W3CDTF">2020-07-24T08:31:00Z</dcterms:modified>
</cp:coreProperties>
</file>