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50" w:firstLineChars="600"/>
        <w:jc w:val="both"/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陕西省石油化工学校</w:t>
      </w:r>
    </w:p>
    <w:p>
      <w:pPr>
        <w:spacing w:line="360" w:lineRule="auto"/>
        <w:ind w:firstLine="1767" w:firstLineChars="400"/>
        <w:jc w:val="both"/>
        <w:rPr>
          <w:rFonts w:hint="default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公寓门禁系统项目技术要求</w:t>
      </w:r>
      <w:r>
        <w:rPr>
          <w:rFonts w:hint="eastAsia" w:ascii="宋体" w:hAnsi="宋体" w:cs="Times New Roman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项目一览表</w:t>
      </w:r>
    </w:p>
    <w:tbl>
      <w:tblPr>
        <w:tblStyle w:val="6"/>
        <w:tblW w:w="100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798"/>
        <w:gridCol w:w="2685"/>
        <w:gridCol w:w="705"/>
        <w:gridCol w:w="731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门禁控制系统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7寸人脸门禁一体机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与人脸识别一体机、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网络摄像机（筒型）</w:t>
            </w:r>
            <w:r>
              <w:rPr>
                <w:rStyle w:val="12"/>
                <w:rFonts w:hint="eastAsia"/>
                <w:lang w:val="en-US" w:eastAsia="zh-CN"/>
              </w:rPr>
              <w:t>为同一品牌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门禁控制器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发卡器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单门磁力锁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红外开门按钮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双路遥控器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闭门器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管理电脑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黑白激光打印机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AI摄像头抓拍系统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智慧型AI摄像头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与人脸识别一体机、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网络摄像机（筒型）</w:t>
            </w:r>
            <w:r>
              <w:rPr>
                <w:rStyle w:val="12"/>
                <w:rFonts w:hint="eastAsia"/>
                <w:lang w:val="en-US" w:eastAsia="zh-CN"/>
              </w:rPr>
              <w:t>为同一品牌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智慧型录像机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与人脸识别一体机、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网络摄像机（筒型）</w:t>
            </w:r>
            <w:r>
              <w:rPr>
                <w:rStyle w:val="12"/>
                <w:rFonts w:hint="eastAsia"/>
                <w:lang w:val="en-US" w:eastAsia="zh-CN"/>
              </w:rPr>
              <w:t>为同一品牌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录像专用硬盘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报警音响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延时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》30分钟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线材及辅材等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国标RVV2*0.75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室内超五类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联塑线管、线槽、螺丝、胶布、水晶头等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为本次项目核心产品，须保持同一品牌。</w:t>
      </w: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2.主要设备</w:t>
      </w:r>
      <w:r>
        <w:rPr>
          <w:rFonts w:hint="eastAsia" w:ascii="宋体" w:hAnsi="宋体" w:cs="Times New Roman"/>
          <w:sz w:val="28"/>
          <w:szCs w:val="28"/>
        </w:rPr>
        <w:t>技术性能指标</w:t>
      </w:r>
    </w:p>
    <w:tbl>
      <w:tblPr>
        <w:tblStyle w:val="6"/>
        <w:tblW w:w="92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97"/>
        <w:gridCol w:w="7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招标技术指标名称</w:t>
            </w:r>
          </w:p>
        </w:tc>
        <w:tc>
          <w:tcPr>
            <w:tcW w:w="7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招标技术指标值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网络摄像机（筒形）</w:t>
            </w:r>
          </w:p>
        </w:tc>
        <w:tc>
          <w:tcPr>
            <w:tcW w:w="7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ind w:left="0" w:leftChars="0" w:firstLine="240" w:firstLineChars="1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★专业智能（深度学习算法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人脸抓拍功能：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智能警戒，越界侦测，进入区域侦测，区域入侵侦测，离开</w:t>
            </w:r>
          </w:p>
          <w:p>
            <w:pPr>
              <w:pStyle w:val="2"/>
              <w:ind w:left="479" w:leftChars="228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区域侦测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79" w:leftChars="114" w:hanging="240" w:hanging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★传感器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小于等于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1/3" Progressive Scan CMOS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像素：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高于38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0万像素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不低于2560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最低照小于等于0.005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夜间红外补光时可识别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大于25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米处的人体，支持防补光过曝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0" w:leftChars="0" w:firstLine="240" w:firstLineChars="1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接口类型: 音频接口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1路输入（Line in），接口类型：</w:t>
            </w:r>
          </w:p>
          <w:p>
            <w:pPr>
              <w:pStyle w:val="2"/>
              <w:ind w:left="479" w:leftChars="228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非平衡1路输出（Line out），输出阻抗：100 Ω，</w:t>
            </w:r>
          </w:p>
          <w:p>
            <w:pPr>
              <w:pStyle w:val="2"/>
              <w:ind w:left="479" w:leftChars="228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接口类型：非平衡1个内置麦克风，1个内置扬声器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报警1路输入，1路输出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pStyle w:val="2"/>
              <w:ind w:left="479" w:leftChars="114" w:hanging="240" w:hangingChars="1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★2.7~12 mm，水平视场角：10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°~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7~35 mm，水平视场角：28°~12°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pStyle w:val="2"/>
              <w:ind w:left="0" w:leftChars="0" w:firstLine="240" w:firstLineChars="1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视频标准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主码流帧率分辨率: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50 Hz：25 fps（2560 × 1440，1920 × 1080，1280 × 720）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子码流帧率分辨率: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50 Hz：25 fps（1280 × 720，640 × 480，640 × 360）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视频压缩标准: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主码流：H.265/H.264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子码流：H.265/H.264/MJPEG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视频压缩码率: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32 Kbps~8 Mbps 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H.264编码类型: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BaseLine Profile/Main Profile/High Profile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H.265编码类型: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Smart264编码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主码流支持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Smart265编码</w:t>
            </w:r>
          </w:p>
          <w:p>
            <w:pPr>
              <w:pStyle w:val="2"/>
              <w:ind w:left="0" w:leftChars="0" w:firstLine="480" w:firstLineChars="200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主码流支持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Style w:val="12"/>
                <w:lang w:val="en-US" w:eastAsia="zh-CN"/>
              </w:rPr>
            </w:pPr>
            <w:r>
              <w:rPr>
                <w:rStyle w:val="12"/>
                <w:lang w:val="en-US" w:eastAsia="zh-CN"/>
              </w:rPr>
              <w:t>网络硬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12"/>
                <w:lang w:val="en-US" w:eastAsia="zh-CN"/>
              </w:rPr>
              <w:t>盘录像机</w:t>
            </w:r>
          </w:p>
        </w:tc>
        <w:tc>
          <w:tcPr>
            <w:tcW w:w="7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目标名单库： 支持不低于14个目标库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名单库库容：不低于1.8万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目标比对： 支持不少于6路目标比对报警(图片流)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目标检索： 支持以图搜图、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按属性检索、人脸属性识别、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按姓名检索、按属性检索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人脸1V1比对、以脸搜脸、按姓名检索、人脸评分功能；支持接入混合抓拍事件 支持热成像接入、存储、报警。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50" w:leftChars="100" w:hanging="240" w:hangingChars="10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2.★输入带宽：≥80M；输出带宽：≥160M；支持≥8路H.264、H.265混合接入；支持≥2路1080P解码，支持H.265、H.264解码； 视频输出：≥1个HDMI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盘位数量：≥4盘位，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单盘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支持≥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TB硬盘；通讯接口：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≥2个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千兆网口≥2个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USB2.0接口≥1个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USB3.0接口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≥1个； 报警：≥16进≥4出。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目标抓拍： 支持≥2路 400W 目标抓拍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周界防范： 支持周界防范报警（越界、区域入侵），≥2路400w视频流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网络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7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80" w:hanging="480" w:hangingChars="20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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★千兆PoE电口≥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个支持端口隔离、风暴抑制、MAC绑定、基于端口的镜像。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79" w:leftChars="114" w:hanging="240" w:hangingChars="10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★支持端口限速以及流限速功能，防止恶意侵占网络带宽。拥有丰富的队列调度算法，可以以不同的优先级将报文放入端口的输出队列。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79" w:leftChars="114" w:hanging="240" w:hangingChars="10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支持STP/RSTP/防环路技术，能避免网络中由于误接导致环路，引起网络不稳定的状况。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79" w:leftChars="114" w:hanging="240" w:hanging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遵循IEEE802.3az节能标准，端口如果在连续一段时间之内空闲，系统会将该端口设置为节能模式，当有报文收发时再通过定时发送的监听码流唤醒端口恢复业务，达到节能的效果。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录像专用硬盘</w:t>
            </w:r>
          </w:p>
        </w:tc>
        <w:tc>
          <w:tcPr>
            <w:tcW w:w="7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硬盘类型：3.5英寸SATA3；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单盘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容量10T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容量≥8000G；转速：≥7200RPM；缓存：≥256M。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人脸识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别一体机</w:t>
            </w:r>
          </w:p>
        </w:tc>
        <w:tc>
          <w:tcPr>
            <w:tcW w:w="7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1★屏幕参数: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尺寸7.0英寸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操作方式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触摸操作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2★人脸容量: ≥8000张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left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3★视频参数: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像素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≥18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、镜头数量2个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left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4★支持lin口、人体测温功能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50" w:leftChars="100" w:hanging="240" w:hanging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★工作温度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≤-10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~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0℃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设备采用非接触式体温检测模块，温度检测距离在0.3m~2m之间，测温范围30℃-45℃，检测精度±0.5℃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设备两种工作模式：身份验证+面部测温模式、快速测温模式（人脸检测+面部测温）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支持配置快速测温模式（人脸检测+面部测温），即支持检测到人脸（不做身份验证）就做面部体温检测，并抓拍人脸照片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设备支持口罩检测模式，可配置提醒戴口罩模式、强制戴口罩模式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449" w:leftChars="214" w:firstLine="0" w:firstLineChars="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提醒戴口罩模式：未带口罩可做身份验证，可正常考勤签到，身份验证通过后提醒佩戴口罩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强制戴口罩模式：未带口罩无法做身份验证，提醒佩戴口罩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设备支持外接USB身份证模块，实现人证比对功能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、★功能参数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二维码识别：支持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真人检测：照片视频防假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对讲功能：支持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语音播报：支持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校时功能：支持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、★其它参数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供电方式：DC12/2A，需单独配电源供电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工作温度：0~50℃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工作湿度：0~90%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使用环境：室内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安装方式：壁挂，可选配落地式支架及通道支架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、★认证参数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读卡频率：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MHZ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、★物理接口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网口：1个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门锁输出：1个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开门按钮：1个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门磁输入：1个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 w:firstLine="240" w:firstLineChars="100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电源接口：2芯插座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网络参数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有线网络：LAN*1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exac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磁力锁</w:t>
            </w:r>
          </w:p>
        </w:tc>
        <w:tc>
          <w:tcPr>
            <w:tcW w:w="7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单门磁力锁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门磁信号接入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10" w:left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承受拉力：≥260kg ±15%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UPS电源</w:t>
            </w:r>
          </w:p>
        </w:tc>
        <w:tc>
          <w:tcPr>
            <w:tcW w:w="7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2127"/>
              </w:tabs>
              <w:spacing w:line="360" w:lineRule="auto"/>
              <w:ind w:left="210" w:leftChars="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1800W 3KVA UPS静音电源；延时》30分钟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管理电脑</w:t>
            </w:r>
          </w:p>
        </w:tc>
        <w:tc>
          <w:tcPr>
            <w:tcW w:w="7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Cs/>
                <w:sz w:val="24"/>
                <w:szCs w:val="24"/>
                <w:highlight w:val="magenta"/>
                <w:lang w:val="en-US"/>
              </w:rPr>
            </w:pPr>
            <w:r>
              <w:rPr>
                <w:rFonts w:hint="default" w:ascii="宋体" w:hAnsi="宋体"/>
                <w:bCs/>
                <w:sz w:val="24"/>
                <w:szCs w:val="24"/>
                <w:lang w:val="en-US"/>
              </w:rPr>
              <w:t>Intel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hint="default" w:ascii="宋体" w:hAnsi="宋体"/>
                <w:bCs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代（i3-12400）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技嘉</w:t>
            </w:r>
            <w:r>
              <w:rPr>
                <w:rFonts w:hint="default" w:ascii="宋体" w:hAnsi="宋体"/>
                <w:bCs/>
                <w:sz w:val="24"/>
                <w:szCs w:val="24"/>
                <w:lang w:val="en-US"/>
              </w:rPr>
              <w:t>B660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主板、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DDR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G、512固态+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T机械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硬盘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650W电源、七彩虹独立显卡，23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寸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IPS低蓝光不闪屏显示器</w:t>
            </w: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★为本次项目设备核心技术参数，所投产品不能低于该参数技术要求。</w:t>
      </w:r>
    </w:p>
    <w:p>
      <w:pPr>
        <w:spacing w:line="360" w:lineRule="auto"/>
        <w:outlineLvl w:val="1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spacing w:line="360" w:lineRule="auto"/>
        <w:outlineLvl w:val="1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spacing w:line="360" w:lineRule="auto"/>
        <w:outlineLvl w:val="1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spacing w:line="360" w:lineRule="auto"/>
        <w:outlineLvl w:val="1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3.</w:t>
      </w:r>
      <w:r>
        <w:rPr>
          <w:rFonts w:hint="eastAsia" w:ascii="宋体" w:hAnsi="宋体" w:cs="Times New Roman"/>
          <w:sz w:val="28"/>
          <w:szCs w:val="28"/>
        </w:rPr>
        <w:t>商务需求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20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目录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★交货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1.1交货地点：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1.2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交货期：合同签订后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日内（自然日）交付合同条款约定的货物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服务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1.3当货物抵达交货地点时，由</w:t>
            </w:r>
            <w:r>
              <w:rPr>
                <w:rFonts w:hint="eastAsia" w:ascii="宋体" w:hAnsi="宋体"/>
                <w:sz w:val="24"/>
                <w:szCs w:val="24"/>
              </w:rPr>
              <w:t>中</w:t>
            </w:r>
            <w:r>
              <w:rPr>
                <w:rFonts w:ascii="宋体" w:hAnsi="宋体"/>
                <w:sz w:val="24"/>
                <w:szCs w:val="24"/>
              </w:rPr>
              <w:t>标人自行安排的工作人员和货运方验收货物并签收运单，</w:t>
            </w:r>
            <w:r>
              <w:rPr>
                <w:rFonts w:hint="eastAsia" w:ascii="宋体" w:hAnsi="宋体"/>
                <w:sz w:val="24"/>
                <w:szCs w:val="24"/>
              </w:rPr>
              <w:t>采购人</w:t>
            </w:r>
            <w:r>
              <w:rPr>
                <w:rFonts w:ascii="宋体" w:hAnsi="宋体"/>
                <w:sz w:val="24"/>
                <w:szCs w:val="24"/>
              </w:rPr>
              <w:t>提供存放地点，</w:t>
            </w:r>
            <w:r>
              <w:rPr>
                <w:rFonts w:hint="eastAsia" w:ascii="宋体" w:hAnsi="宋体"/>
                <w:sz w:val="24"/>
                <w:szCs w:val="24"/>
              </w:rPr>
              <w:t>采购人</w:t>
            </w:r>
            <w:r>
              <w:rPr>
                <w:rFonts w:ascii="宋体" w:hAnsi="宋体"/>
                <w:sz w:val="24"/>
                <w:szCs w:val="24"/>
              </w:rPr>
              <w:t>对于货物运输过程出现的问题以及其他问题不负任何责任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1.4</w:t>
            </w:r>
            <w:r>
              <w:rPr>
                <w:rFonts w:hint="eastAsia" w:ascii="宋体" w:hAnsi="宋体"/>
                <w:sz w:val="24"/>
                <w:szCs w:val="24"/>
              </w:rPr>
              <w:t>中</w:t>
            </w:r>
            <w:r>
              <w:rPr>
                <w:rFonts w:ascii="宋体" w:hAnsi="宋体"/>
                <w:sz w:val="24"/>
                <w:szCs w:val="24"/>
              </w:rPr>
              <w:t>标人必须承担设备运输、安装调试、验收检测和提供设备操作说明书、图纸等其他类似的义务。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★报价方式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2.1国产货物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2.1.1投标价必须是人民币含税价。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2.1.2投标价包含所有费用，包含但不限于仪器设备辅助设施及配件购置、税费、包装、运输、保险、装卸、调试、技术服务、培训、检测、服务、质保期（质保期内设备及部件故障的更换，维修和退运返修）、售后服务等，验收合格交付使用之前的一切费用，采购人不再另行支付其他费用。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备注：本项目需求中所称的免费是指由此产生的一切费用由中标人承担，中标金额是采购人支付的唯一依据，采购人不再另行支付其他任何费用。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★付款方式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设备到货安装验收合格后，凭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双方确认的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安装验收报告支付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95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%货款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剩余5%作为质保金，在质保期（一年）满后付清。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★售后服务和培训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4.1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需为本项目配备足够售后服务力量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；如果仪器设备发生故障，中标人要排查故障并修复至原最终验收指标和性能的要求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4.2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提供仪器设备的免费保修期至少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年（保修期内免费维修并更换除消耗品以外的零部件，维修人员的路费、食宿等自理）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bCs/>
                <w:sz w:val="24"/>
                <w:szCs w:val="24"/>
              </w:rPr>
              <w:t>保修期自最终安装验收合格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签字确认</w:t>
            </w:r>
            <w:r>
              <w:rPr>
                <w:rFonts w:ascii="宋体" w:hAnsi="宋体"/>
                <w:bCs/>
                <w:sz w:val="24"/>
                <w:szCs w:val="24"/>
              </w:rPr>
              <w:t>后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算起，并提供相关保修文件材料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4.3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售后服务响应时间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（2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小时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热线电话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email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）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：电话响应时间要求1小时内，到场响应时间要求24个小时内（指从接到报障至到达故障现场的时间）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；email响应时间要求2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小时内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4.4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必须能够随时提供全新备品，一旦设备出现问题必须保证全新备品能在24小时内到现场，48小时内解决相关问题。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4.5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为保证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所提供的仪器设备安全、可靠运行，便于买方的运行维护，必须对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采购人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培训合格的维护和管理人员；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4.6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负责对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采购人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提供至少一次现场技术培训，以便工作人员在培训后能熟练地掌握系统的维护工作，并能及时排除大部分的系统障碍。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4.7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提供该设备的技术使用说明书及外购配件仪器说明书，并指导在使用该设备时的操作注意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安装、调试和验收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zh-CN"/>
              </w:rPr>
              <w:t>中标人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工程师负责现场的免费安装、调试；如需特殊安装条件的，中标人应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  <w:szCs w:val="24"/>
                <w:lang w:val="zh-CN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zh-CN"/>
              </w:rPr>
              <w:t>天内与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采购人进行场地安装事宜的确认。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5.2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货物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运抵安装现场后，采购人应当与中标人共同开箱；中标人技术工程师负责现场的免费安装、调试；验收结果以采购人的验收报告为最终验收结果，验收时发现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短缺、破损、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故障等不能正常使用的情况时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, 采购人有权要求中标人立即补发和负责更换。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5.3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中标人应提出仪器设备测试的内容、项目、指标和方法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,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 xml:space="preserve"> 中标人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有责任对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采购人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 xml:space="preserve">的技术人员提出的问题作出解答。测试应进行详细记录,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仪器设备测试结束后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 xml:space="preserve">,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由中标人技术人员签字后交给采购人验收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5.4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标人应提前一周将发货信息提供给买方。货物到达后，采购人应将到货信息立即通知中标人。中标人应协助采购人于到货后一周（7天）内将设备在安装基础上就位，并做好现场安装调试、验收的各项准备工作，包括必要的试件、刀具及检具等。验收期应最晚不迟于交货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天内，除双方协商的特殊情况外。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5.5当满足以下条件时，采购人才向中标人签发货物验收报告：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a、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中标人已按照合同规定提供了全部产品及完整的技术资料。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b、货物符合招标文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件技术规格书的要求，性能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功能、可用性、可靠性、稳定性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满足要求。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c、货物具备产品合格证。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运输及包装方式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.1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货物到达采购人指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地点前的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包装、运输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等均由中标人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负责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。针对特殊设备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应使用崭新坚固的木质包装（标准包装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，必要时为木质烟熏包装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），适合于空运、或陆运等长途运输方式；适合气候变化；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中标人</w:t>
            </w: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应对任何由于不当包装或防护措施不利而导致的商品损坏、损失、费用增长等后果负责。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违约责任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由于中标人的原因未能按时供货的，每迟一天罚款合同总额的0.5%，累计不超过 </w:t>
            </w:r>
            <w:r>
              <w:rPr>
                <w:rFonts w:ascii="宋体" w:hAnsi="宋体"/>
                <w:sz w:val="24"/>
                <w:szCs w:val="24"/>
              </w:rPr>
              <w:t xml:space="preserve">5%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如超过供货期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天，采购人有权视情况终止采购合同并通过法律程序对供应商进行索赔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7.2</w:t>
            </w:r>
            <w:r>
              <w:rPr>
                <w:rFonts w:hint="eastAsia" w:ascii="宋体" w:hAnsi="宋体"/>
                <w:sz w:val="24"/>
                <w:szCs w:val="24"/>
              </w:rPr>
              <w:t>中标人所提供的服务及所交付的产品品种、型号、规格、质量不符合同规定标准的，采购人有权拒绝收货且无需承担任何责任，同时采购人有权要求中标人限期重新供货或解除采购合同，由此造成的一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zh-CN"/>
              </w:rPr>
              <w:t>切损失由中标人承</w:t>
            </w:r>
            <w:r>
              <w:rPr>
                <w:rFonts w:hint="eastAsia" w:ascii="宋体" w:hAnsi="宋体"/>
                <w:sz w:val="24"/>
                <w:szCs w:val="24"/>
              </w:rPr>
              <w:t>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7.3</w:t>
            </w:r>
            <w:r>
              <w:rPr>
                <w:rFonts w:hint="eastAsia" w:ascii="宋体" w:hAnsi="宋体"/>
                <w:sz w:val="24"/>
                <w:szCs w:val="24"/>
              </w:rPr>
              <w:t>其他由违法导致违约的行为按相关法律法规执行。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质量及知识产权要求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zh-CN"/>
              </w:rPr>
              <w:t>中标人提供完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好、全新的原包装产品（包括零配件），随机技术资料齐全。产品符合国家质量检测标准，必须具有生产日期、厂名、厂址、产品合格证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8.2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中标人应当保证其交付给采购人的货物或服务不侵犯任何第三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的合法权益。如发生第三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指控采购人实施的技术侵权的，中标人应当承担全部责任。采购人在使用该货物或服务的任何一部分时，免受第三方提出的侵犯其专利权、商标权或工业设计权等知识产权的起诉或司法干预。如果发生上述起诉或干预，则其法律责任均由中标人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8.3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中标人保证所提供货物或服务为中标人通过合法来源依法取得，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一旦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采购人要求，中标人有义务向采购人提供相关证明材料。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9EB09"/>
    <w:multiLevelType w:val="singleLevel"/>
    <w:tmpl w:val="7F59EB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DYwNDJjZTcyNDcyZDNmNzQyM2Y5MmIxMGMyMTkifQ=="/>
  </w:docVars>
  <w:rsids>
    <w:rsidRoot w:val="00000000"/>
    <w:rsid w:val="00BA7CA7"/>
    <w:rsid w:val="03CE7CF1"/>
    <w:rsid w:val="042D242C"/>
    <w:rsid w:val="09880942"/>
    <w:rsid w:val="1BFB1448"/>
    <w:rsid w:val="1DF148B0"/>
    <w:rsid w:val="23464A6C"/>
    <w:rsid w:val="24741D97"/>
    <w:rsid w:val="28213FE4"/>
    <w:rsid w:val="2C0E2AD1"/>
    <w:rsid w:val="31FE7144"/>
    <w:rsid w:val="38B8629F"/>
    <w:rsid w:val="392E6561"/>
    <w:rsid w:val="3A2A4F7A"/>
    <w:rsid w:val="3AE570F3"/>
    <w:rsid w:val="3B7A0CB0"/>
    <w:rsid w:val="3CE82ECA"/>
    <w:rsid w:val="3E037E47"/>
    <w:rsid w:val="3E0A3C03"/>
    <w:rsid w:val="439711A6"/>
    <w:rsid w:val="46E6047B"/>
    <w:rsid w:val="48204268"/>
    <w:rsid w:val="48457423"/>
    <w:rsid w:val="49B760FE"/>
    <w:rsid w:val="4AA523FB"/>
    <w:rsid w:val="4CCE5C39"/>
    <w:rsid w:val="51954BAF"/>
    <w:rsid w:val="52E71802"/>
    <w:rsid w:val="54413194"/>
    <w:rsid w:val="55F67FAE"/>
    <w:rsid w:val="56FE536D"/>
    <w:rsid w:val="5ED528F4"/>
    <w:rsid w:val="60E27D45"/>
    <w:rsid w:val="68EF0558"/>
    <w:rsid w:val="6C2947E2"/>
    <w:rsid w:val="714F6A99"/>
    <w:rsid w:val="72BF19FC"/>
    <w:rsid w:val="757E794D"/>
    <w:rsid w:val="75C530FF"/>
    <w:rsid w:val="776B6858"/>
    <w:rsid w:val="790A7749"/>
    <w:rsid w:val="7B9C4DA1"/>
    <w:rsid w:val="7D6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qFormat/>
    <w:uiPriority w:val="99"/>
    <w:rPr>
      <w:szCs w:val="20"/>
    </w:rPr>
  </w:style>
  <w:style w:type="character" w:customStyle="1" w:styleId="11">
    <w:name w:val="正文文本首行缩进 2 字符"/>
    <w:basedOn w:val="10"/>
    <w:link w:val="2"/>
    <w:qFormat/>
    <w:uiPriority w:val="99"/>
    <w:rPr>
      <w:szCs w:val="20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3984</Words>
  <Characters>4475</Characters>
  <Paragraphs>375</Paragraphs>
  <TotalTime>126</TotalTime>
  <ScaleCrop>false</ScaleCrop>
  <LinksUpToDate>false</LinksUpToDate>
  <CharactersWithSpaces>4596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2021-12-17T09:34:00Z</dcterms:created>
  <dc:creator>OITC02</dc:creator>
  <cp:lastModifiedBy>王娟娟</cp:lastModifiedBy>
  <dcterms:modified xsi:type="dcterms:W3CDTF">2023-08-04T08:03:26Z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C611BA49B1F740229947BFF4497A18E2_13</vt:lpwstr>
  </property>
</Properties>
</file>